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CD7" w:rsidRPr="00067A03" w:rsidRDefault="007A1CD7" w:rsidP="00943143">
      <w:pPr>
        <w:rPr>
          <w:rFonts w:cs="Tahoma"/>
          <w:sz w:val="20"/>
          <w:szCs w:val="20"/>
          <w:lang w:val="es-ES"/>
        </w:rPr>
      </w:pPr>
      <w:r w:rsidRPr="00067A03">
        <w:rPr>
          <w:rFonts w:cs="Tahoma"/>
          <w:sz w:val="20"/>
          <w:szCs w:val="20"/>
          <w:lang w:val="es-ES"/>
        </w:rPr>
        <w:t>Señorías</w:t>
      </w:r>
    </w:p>
    <w:p w:rsidR="009D61D8" w:rsidRPr="00067A03" w:rsidRDefault="009D61D8" w:rsidP="00943143">
      <w:pPr>
        <w:rPr>
          <w:rFonts w:cs="Tahoma"/>
          <w:sz w:val="20"/>
          <w:szCs w:val="20"/>
          <w:lang w:val="es-ES"/>
        </w:rPr>
      </w:pPr>
    </w:p>
    <w:p w:rsidR="00D96200" w:rsidRPr="00067A03" w:rsidRDefault="00D96200" w:rsidP="00943143">
      <w:pPr>
        <w:rPr>
          <w:rFonts w:cs="Tahoma"/>
          <w:sz w:val="20"/>
          <w:szCs w:val="20"/>
          <w:lang w:val="es-ES"/>
        </w:rPr>
      </w:pPr>
      <w:r w:rsidRPr="00067A03">
        <w:rPr>
          <w:rFonts w:cs="Tahoma"/>
          <w:sz w:val="20"/>
          <w:szCs w:val="20"/>
          <w:lang w:val="es-ES"/>
        </w:rPr>
        <w:t xml:space="preserve">Agradezco a esta Comisión su </w:t>
      </w:r>
      <w:r w:rsidR="00B43A97" w:rsidRPr="00067A03">
        <w:rPr>
          <w:rFonts w:cs="Tahoma"/>
          <w:sz w:val="20"/>
          <w:szCs w:val="20"/>
          <w:lang w:val="es-ES"/>
        </w:rPr>
        <w:t>invitación</w:t>
      </w:r>
      <w:r w:rsidRPr="00067A03">
        <w:rPr>
          <w:rFonts w:cs="Tahoma"/>
          <w:sz w:val="20"/>
          <w:szCs w:val="20"/>
          <w:lang w:val="es-ES"/>
        </w:rPr>
        <w:t xml:space="preserve"> a comparecer para comentar</w:t>
      </w:r>
      <w:r w:rsidR="007A1CD7" w:rsidRPr="00067A03">
        <w:rPr>
          <w:rFonts w:cs="Tahoma"/>
          <w:sz w:val="20"/>
          <w:szCs w:val="20"/>
          <w:lang w:val="es-ES"/>
        </w:rPr>
        <w:t xml:space="preserve"> aspectos relativos a la campaña de vacunación contra la covid-19 en España.</w:t>
      </w:r>
    </w:p>
    <w:p w:rsidR="007A1CD7" w:rsidRPr="00067A03" w:rsidRDefault="007A1CD7" w:rsidP="00943143">
      <w:pPr>
        <w:rPr>
          <w:rFonts w:cs="Tahoma"/>
          <w:sz w:val="20"/>
          <w:szCs w:val="20"/>
          <w:lang w:val="es-ES"/>
        </w:rPr>
      </w:pPr>
    </w:p>
    <w:p w:rsidR="007A1CD7" w:rsidRPr="00067A03" w:rsidRDefault="007A1CD7" w:rsidP="00943143">
      <w:pPr>
        <w:rPr>
          <w:rFonts w:cs="Tahoma"/>
          <w:sz w:val="20"/>
          <w:szCs w:val="20"/>
          <w:lang w:val="es-ES"/>
        </w:rPr>
      </w:pPr>
      <w:r w:rsidRPr="00067A03">
        <w:rPr>
          <w:rFonts w:cs="Tahoma"/>
          <w:sz w:val="20"/>
          <w:szCs w:val="20"/>
          <w:lang w:val="es-ES"/>
        </w:rPr>
        <w:t>En p</w:t>
      </w:r>
      <w:r w:rsidR="00B15EDC" w:rsidRPr="00067A03">
        <w:rPr>
          <w:rFonts w:cs="Tahoma"/>
          <w:sz w:val="20"/>
          <w:szCs w:val="20"/>
          <w:lang w:val="es-ES"/>
        </w:rPr>
        <w:t>rimer lugar, me presentaré. Inici</w:t>
      </w:r>
      <w:r w:rsidRPr="00067A03">
        <w:rPr>
          <w:rFonts w:cs="Tahoma"/>
          <w:sz w:val="20"/>
          <w:szCs w:val="20"/>
          <w:lang w:val="es-ES"/>
        </w:rPr>
        <w:t xml:space="preserve">é la FV </w:t>
      </w:r>
      <w:r w:rsidR="00B15EDC" w:rsidRPr="00067A03">
        <w:rPr>
          <w:rFonts w:cs="Tahoma"/>
          <w:sz w:val="20"/>
          <w:szCs w:val="20"/>
          <w:lang w:val="es-ES"/>
        </w:rPr>
        <w:t xml:space="preserve">en España </w:t>
      </w:r>
      <w:r w:rsidRPr="00067A03">
        <w:rPr>
          <w:rFonts w:cs="Tahoma"/>
          <w:sz w:val="20"/>
          <w:szCs w:val="20"/>
          <w:lang w:val="es-ES"/>
        </w:rPr>
        <w:t>y el S</w:t>
      </w:r>
      <w:r w:rsidR="004F3309" w:rsidRPr="00067A03">
        <w:rPr>
          <w:rFonts w:cs="Tahoma"/>
          <w:sz w:val="20"/>
          <w:szCs w:val="20"/>
          <w:lang w:val="es-ES"/>
        </w:rPr>
        <w:t>EFV en los años ochenta, fui  director del centro coordinador del SEFV y mie</w:t>
      </w:r>
      <w:r w:rsidRPr="00067A03">
        <w:rPr>
          <w:rFonts w:cs="Tahoma"/>
          <w:sz w:val="20"/>
          <w:szCs w:val="20"/>
          <w:lang w:val="es-ES"/>
        </w:rPr>
        <w:t>mbro de la CNFV hasta la creación de la AEMPS</w:t>
      </w:r>
      <w:r w:rsidR="00D07E8E" w:rsidRPr="00067A03">
        <w:rPr>
          <w:rFonts w:cs="Tahoma"/>
          <w:sz w:val="20"/>
          <w:szCs w:val="20"/>
          <w:lang w:val="es-ES"/>
        </w:rPr>
        <w:t xml:space="preserve"> en 1999, y desde </w:t>
      </w:r>
      <w:r w:rsidRPr="00067A03">
        <w:rPr>
          <w:rFonts w:cs="Tahoma"/>
          <w:sz w:val="20"/>
          <w:szCs w:val="20"/>
          <w:lang w:val="es-ES"/>
        </w:rPr>
        <w:t xml:space="preserve">esta </w:t>
      </w:r>
      <w:r w:rsidR="00D07E8E" w:rsidRPr="00067A03">
        <w:rPr>
          <w:rFonts w:cs="Tahoma"/>
          <w:sz w:val="20"/>
          <w:szCs w:val="20"/>
          <w:lang w:val="es-ES"/>
        </w:rPr>
        <w:t xml:space="preserve">fecha </w:t>
      </w:r>
      <w:r w:rsidRPr="00067A03">
        <w:rPr>
          <w:rFonts w:cs="Tahoma"/>
          <w:sz w:val="20"/>
          <w:szCs w:val="20"/>
          <w:lang w:val="es-ES"/>
        </w:rPr>
        <w:t>hasta la actualidad he sido experto externo de esta institución</w:t>
      </w:r>
      <w:r w:rsidR="00D07E8E" w:rsidRPr="00067A03">
        <w:rPr>
          <w:rFonts w:cs="Tahoma"/>
          <w:sz w:val="20"/>
          <w:szCs w:val="20"/>
          <w:lang w:val="es-ES"/>
        </w:rPr>
        <w:t xml:space="preserve"> (durante un tiempo miembro de su consejo asesor)</w:t>
      </w:r>
      <w:r w:rsidR="00B15EDC" w:rsidRPr="00067A03">
        <w:rPr>
          <w:rFonts w:cs="Tahoma"/>
          <w:sz w:val="20"/>
          <w:szCs w:val="20"/>
          <w:lang w:val="es-ES"/>
        </w:rPr>
        <w:t xml:space="preserve">. </w:t>
      </w:r>
      <w:r w:rsidR="00D06127">
        <w:rPr>
          <w:rFonts w:cs="Tahoma"/>
          <w:sz w:val="20"/>
          <w:szCs w:val="20"/>
          <w:lang w:val="es-ES"/>
        </w:rPr>
        <w:t>Fui presidente</w:t>
      </w:r>
      <w:r w:rsidRPr="00067A03">
        <w:rPr>
          <w:rFonts w:cs="Tahoma"/>
          <w:sz w:val="20"/>
          <w:szCs w:val="20"/>
          <w:lang w:val="es-ES"/>
        </w:rPr>
        <w:t xml:space="preserve"> del Comité de Medicamentos Ese</w:t>
      </w:r>
      <w:r w:rsidR="00D06127">
        <w:rPr>
          <w:rFonts w:cs="Tahoma"/>
          <w:sz w:val="20"/>
          <w:szCs w:val="20"/>
          <w:lang w:val="es-ES"/>
        </w:rPr>
        <w:t xml:space="preserve">nciales de la OMS </w:t>
      </w:r>
      <w:r w:rsidR="007C39AB" w:rsidRPr="00067A03">
        <w:rPr>
          <w:rFonts w:cs="Tahoma"/>
          <w:sz w:val="20"/>
          <w:szCs w:val="20"/>
          <w:lang w:val="es-ES"/>
        </w:rPr>
        <w:t>en 2004. He publicado más de 25</w:t>
      </w:r>
      <w:r w:rsidRPr="00067A03">
        <w:rPr>
          <w:rFonts w:cs="Tahoma"/>
          <w:sz w:val="20"/>
          <w:szCs w:val="20"/>
          <w:lang w:val="es-ES"/>
        </w:rPr>
        <w:t xml:space="preserve">0 trabajos originales </w:t>
      </w:r>
      <w:r w:rsidR="00D06127">
        <w:rPr>
          <w:rFonts w:cs="Tahoma"/>
          <w:sz w:val="20"/>
          <w:szCs w:val="20"/>
          <w:lang w:val="es-ES"/>
        </w:rPr>
        <w:t>de investigación en</w:t>
      </w:r>
      <w:r w:rsidRPr="00067A03">
        <w:rPr>
          <w:rFonts w:cs="Tahoma"/>
          <w:sz w:val="20"/>
          <w:szCs w:val="20"/>
          <w:lang w:val="es-ES"/>
        </w:rPr>
        <w:t xml:space="preserve"> farmacología clínica, farmacovigila</w:t>
      </w:r>
      <w:r w:rsidR="00B15EDC" w:rsidRPr="00067A03">
        <w:rPr>
          <w:rFonts w:cs="Tahoma"/>
          <w:sz w:val="20"/>
          <w:szCs w:val="20"/>
          <w:lang w:val="es-ES"/>
        </w:rPr>
        <w:t>ncia y farmacoepidemiología, y dirigí el</w:t>
      </w:r>
      <w:r w:rsidRPr="00067A03">
        <w:rPr>
          <w:rFonts w:cs="Tahoma"/>
          <w:sz w:val="20"/>
          <w:szCs w:val="20"/>
          <w:lang w:val="es-ES"/>
        </w:rPr>
        <w:t xml:space="preserve"> Centro Colaborador de la OMS </w:t>
      </w:r>
      <w:r w:rsidR="00B15EDC" w:rsidRPr="00067A03">
        <w:rPr>
          <w:rFonts w:cs="Tahoma"/>
          <w:sz w:val="20"/>
          <w:szCs w:val="20"/>
          <w:lang w:val="es-ES"/>
        </w:rPr>
        <w:t>en FE</w:t>
      </w:r>
      <w:r w:rsidRPr="00067A03">
        <w:rPr>
          <w:rFonts w:cs="Tahoma"/>
          <w:sz w:val="20"/>
          <w:szCs w:val="20"/>
          <w:lang w:val="es-ES"/>
        </w:rPr>
        <w:t xml:space="preserve"> hasta 2017.</w:t>
      </w:r>
      <w:r w:rsidR="00943518" w:rsidRPr="00067A03">
        <w:rPr>
          <w:rFonts w:cs="Tahoma"/>
          <w:sz w:val="20"/>
          <w:szCs w:val="20"/>
          <w:lang w:val="es-ES"/>
        </w:rPr>
        <w:t xml:space="preserve"> En la actualidad </w:t>
      </w:r>
      <w:r w:rsidR="00D06127" w:rsidRPr="00067A03">
        <w:rPr>
          <w:rFonts w:cs="Tahoma"/>
          <w:sz w:val="20"/>
          <w:szCs w:val="20"/>
          <w:lang w:val="es-ES"/>
        </w:rPr>
        <w:t>soy</w:t>
      </w:r>
      <w:r w:rsidR="00D06127">
        <w:rPr>
          <w:rFonts w:cs="Tahoma"/>
          <w:sz w:val="20"/>
          <w:szCs w:val="20"/>
          <w:lang w:val="es-ES"/>
        </w:rPr>
        <w:t xml:space="preserve"> también </w:t>
      </w:r>
      <w:r w:rsidR="00D06127" w:rsidRPr="00067A03">
        <w:rPr>
          <w:rFonts w:cs="Tahoma"/>
          <w:sz w:val="20"/>
          <w:szCs w:val="20"/>
          <w:lang w:val="es-ES"/>
        </w:rPr>
        <w:t xml:space="preserve"> experto externo de la EMA, en materia d</w:t>
      </w:r>
      <w:r w:rsidR="00D06127">
        <w:rPr>
          <w:rFonts w:cs="Tahoma"/>
          <w:sz w:val="20"/>
          <w:szCs w:val="20"/>
          <w:lang w:val="es-ES"/>
        </w:rPr>
        <w:t xml:space="preserve">e farmacovigilancia y </w:t>
      </w:r>
      <w:r w:rsidR="00943518" w:rsidRPr="00067A03">
        <w:rPr>
          <w:rFonts w:cs="Tahoma"/>
          <w:sz w:val="20"/>
          <w:szCs w:val="20"/>
          <w:lang w:val="es-ES"/>
        </w:rPr>
        <w:t>formo parte del Comité Científico del GIS EPI-PHARE de la Agencia Francesa del Medicamento y la Alta Autoridad de Salud de Francia.</w:t>
      </w:r>
    </w:p>
    <w:p w:rsidR="00835A0B" w:rsidRPr="00067A03" w:rsidRDefault="00835A0B" w:rsidP="00943143">
      <w:pPr>
        <w:rPr>
          <w:rFonts w:cs="Tahoma"/>
          <w:sz w:val="20"/>
          <w:szCs w:val="20"/>
          <w:lang w:val="es-ES"/>
        </w:rPr>
      </w:pPr>
    </w:p>
    <w:p w:rsidR="00D06127" w:rsidRPr="00067A03" w:rsidRDefault="00835A0B" w:rsidP="00943143">
      <w:pPr>
        <w:rPr>
          <w:rFonts w:cs="Tahoma"/>
          <w:sz w:val="20"/>
          <w:szCs w:val="20"/>
          <w:lang w:val="es-ES"/>
        </w:rPr>
      </w:pPr>
      <w:r w:rsidRPr="00067A03">
        <w:rPr>
          <w:rFonts w:cs="Tahoma"/>
          <w:sz w:val="20"/>
          <w:szCs w:val="20"/>
          <w:lang w:val="es-ES"/>
        </w:rPr>
        <w:t>No tengo conflictos de intereses relacionados con la industria farmacéutica o de productos sanitarios.</w:t>
      </w:r>
    </w:p>
    <w:p w:rsidR="007A1CD7" w:rsidRPr="00067A03" w:rsidRDefault="007A1CD7" w:rsidP="00943143">
      <w:pPr>
        <w:rPr>
          <w:rFonts w:cs="Tahoma"/>
          <w:sz w:val="20"/>
          <w:szCs w:val="20"/>
          <w:lang w:val="es-ES"/>
        </w:rPr>
      </w:pPr>
    </w:p>
    <w:p w:rsidR="007A1CD7" w:rsidRPr="00067A03" w:rsidRDefault="00D3166E" w:rsidP="00943143">
      <w:pPr>
        <w:rPr>
          <w:rFonts w:cs="Tahoma"/>
          <w:sz w:val="20"/>
          <w:szCs w:val="20"/>
          <w:lang w:val="es-ES"/>
        </w:rPr>
      </w:pPr>
      <w:r w:rsidRPr="00067A03">
        <w:rPr>
          <w:rFonts w:cs="Tahoma"/>
          <w:sz w:val="20"/>
          <w:szCs w:val="20"/>
          <w:lang w:val="es-ES"/>
        </w:rPr>
        <w:t xml:space="preserve">Se me ha convocado a opinar sobre </w:t>
      </w:r>
      <w:r w:rsidR="009D61D8" w:rsidRPr="00067A03">
        <w:rPr>
          <w:rFonts w:cs="Tahoma"/>
          <w:sz w:val="20"/>
          <w:szCs w:val="20"/>
          <w:lang w:val="es-ES"/>
        </w:rPr>
        <w:t>“</w:t>
      </w:r>
      <w:r w:rsidR="007A1CD7" w:rsidRPr="00067A03">
        <w:rPr>
          <w:rFonts w:cs="Tahoma"/>
          <w:sz w:val="20"/>
          <w:szCs w:val="20"/>
          <w:lang w:val="es-ES"/>
        </w:rPr>
        <w:t>problemas y dificultades que se hayan producido hasta la fecha en el proceso de vacunación, y en la aplicación por parte de las administraciones públicas competentes de la Estrategia de vacunación frente a la COVID-19 en España y sus posteriores actualizaciones</w:t>
      </w:r>
      <w:r w:rsidR="009D61D8" w:rsidRPr="00067A03">
        <w:rPr>
          <w:rFonts w:cs="Tahoma"/>
          <w:sz w:val="20"/>
          <w:szCs w:val="20"/>
          <w:lang w:val="es-ES"/>
        </w:rPr>
        <w:t>”</w:t>
      </w:r>
      <w:r w:rsidR="007A1CD7" w:rsidRPr="00067A03">
        <w:rPr>
          <w:rFonts w:cs="Tahoma"/>
          <w:sz w:val="20"/>
          <w:szCs w:val="20"/>
          <w:lang w:val="es-ES"/>
        </w:rPr>
        <w:t>.</w:t>
      </w:r>
    </w:p>
    <w:p w:rsidR="00D3166E" w:rsidRPr="00067A03" w:rsidRDefault="00D3166E" w:rsidP="00943143">
      <w:pPr>
        <w:rPr>
          <w:rFonts w:cs="Tahoma"/>
          <w:sz w:val="20"/>
          <w:szCs w:val="20"/>
          <w:lang w:val="es-ES"/>
        </w:rPr>
      </w:pPr>
    </w:p>
    <w:p w:rsidR="00B15EDC" w:rsidRPr="00067A03" w:rsidRDefault="00D3166E" w:rsidP="00943143">
      <w:pPr>
        <w:rPr>
          <w:rFonts w:cs="Tahoma"/>
          <w:sz w:val="20"/>
          <w:szCs w:val="20"/>
          <w:lang w:val="es-ES"/>
        </w:rPr>
      </w:pPr>
      <w:r w:rsidRPr="00067A03">
        <w:rPr>
          <w:rFonts w:cs="Tahoma"/>
          <w:sz w:val="20"/>
          <w:szCs w:val="20"/>
          <w:lang w:val="es-ES"/>
        </w:rPr>
        <w:t xml:space="preserve">He podido escuchar gran parte de las comparecencias ante esta Comisión, y he pensado que puedo aportar comentarios sobre tres cuestiones: </w:t>
      </w:r>
    </w:p>
    <w:p w:rsidR="00B15EDC" w:rsidRPr="00067A03" w:rsidRDefault="00B15EDC" w:rsidP="00943143">
      <w:pPr>
        <w:rPr>
          <w:rFonts w:cs="Tahoma"/>
          <w:sz w:val="20"/>
          <w:szCs w:val="20"/>
          <w:lang w:val="es-ES"/>
        </w:rPr>
      </w:pPr>
    </w:p>
    <w:p w:rsidR="00B15EDC" w:rsidRPr="00067A03" w:rsidRDefault="00B15EDC" w:rsidP="00B15EDC">
      <w:pPr>
        <w:pStyle w:val="Prrafodelista"/>
        <w:numPr>
          <w:ilvl w:val="0"/>
          <w:numId w:val="7"/>
        </w:numPr>
        <w:ind w:left="284" w:hanging="284"/>
        <w:rPr>
          <w:rFonts w:cs="Tahoma"/>
          <w:sz w:val="20"/>
          <w:szCs w:val="20"/>
          <w:lang w:val="es-ES"/>
        </w:rPr>
      </w:pPr>
      <w:r w:rsidRPr="00067A03">
        <w:rPr>
          <w:rFonts w:cs="Tahoma"/>
          <w:sz w:val="20"/>
          <w:szCs w:val="20"/>
          <w:lang w:val="es-ES"/>
        </w:rPr>
        <w:t xml:space="preserve">la </w:t>
      </w:r>
      <w:r w:rsidR="00D3166E" w:rsidRPr="00067A03">
        <w:rPr>
          <w:rFonts w:cs="Tahoma"/>
          <w:sz w:val="20"/>
          <w:szCs w:val="20"/>
          <w:lang w:val="es-ES"/>
        </w:rPr>
        <w:t>farmacovigilancia de las vacunas y el pa</w:t>
      </w:r>
      <w:r w:rsidRPr="00067A03">
        <w:rPr>
          <w:rFonts w:cs="Tahoma"/>
          <w:sz w:val="20"/>
          <w:szCs w:val="20"/>
          <w:lang w:val="es-ES"/>
        </w:rPr>
        <w:t>pel de las agencias reguladoras</w:t>
      </w:r>
      <w:r w:rsidR="00D3166E" w:rsidRPr="00067A03">
        <w:rPr>
          <w:rFonts w:cs="Tahoma"/>
          <w:sz w:val="20"/>
          <w:szCs w:val="20"/>
          <w:lang w:val="es-ES"/>
        </w:rPr>
        <w:t xml:space="preserve"> </w:t>
      </w:r>
      <w:r w:rsidRPr="00067A03">
        <w:rPr>
          <w:rFonts w:cs="Tahoma"/>
          <w:sz w:val="20"/>
          <w:szCs w:val="20"/>
          <w:lang w:val="es-ES"/>
        </w:rPr>
        <w:t xml:space="preserve">(la </w:t>
      </w:r>
      <w:r w:rsidR="00D3166E" w:rsidRPr="00067A03">
        <w:rPr>
          <w:rFonts w:cs="Tahoma"/>
          <w:sz w:val="20"/>
          <w:szCs w:val="20"/>
          <w:lang w:val="es-ES"/>
        </w:rPr>
        <w:t xml:space="preserve">AEMPS en España y </w:t>
      </w:r>
      <w:r w:rsidRPr="00067A03">
        <w:rPr>
          <w:rFonts w:cs="Tahoma"/>
          <w:sz w:val="20"/>
          <w:szCs w:val="20"/>
          <w:lang w:val="es-ES"/>
        </w:rPr>
        <w:t xml:space="preserve">la </w:t>
      </w:r>
      <w:r w:rsidR="00D3166E" w:rsidRPr="00067A03">
        <w:rPr>
          <w:rFonts w:cs="Tahoma"/>
          <w:sz w:val="20"/>
          <w:szCs w:val="20"/>
          <w:lang w:val="es-ES"/>
        </w:rPr>
        <w:t>EMA en la UE</w:t>
      </w:r>
      <w:r w:rsidRPr="00067A03">
        <w:rPr>
          <w:rFonts w:cs="Tahoma"/>
          <w:sz w:val="20"/>
          <w:szCs w:val="20"/>
          <w:lang w:val="es-ES"/>
        </w:rPr>
        <w:t>)</w:t>
      </w:r>
      <w:r w:rsidR="009D61D8" w:rsidRPr="00067A03">
        <w:rPr>
          <w:rFonts w:cs="Tahoma"/>
          <w:sz w:val="20"/>
          <w:szCs w:val="20"/>
          <w:lang w:val="es-ES"/>
        </w:rPr>
        <w:t xml:space="preserve">, </w:t>
      </w:r>
    </w:p>
    <w:p w:rsidR="00B15EDC" w:rsidRPr="00067A03" w:rsidRDefault="00B15EDC" w:rsidP="00B15EDC">
      <w:pPr>
        <w:pStyle w:val="Prrafodelista"/>
        <w:numPr>
          <w:ilvl w:val="0"/>
          <w:numId w:val="7"/>
        </w:numPr>
        <w:ind w:left="284" w:hanging="284"/>
        <w:rPr>
          <w:rFonts w:cs="Tahoma"/>
          <w:sz w:val="20"/>
          <w:szCs w:val="20"/>
          <w:lang w:val="es-ES"/>
        </w:rPr>
      </w:pPr>
      <w:r w:rsidRPr="00067A03">
        <w:rPr>
          <w:rFonts w:cs="Tahoma"/>
          <w:sz w:val="20"/>
          <w:szCs w:val="20"/>
          <w:lang w:val="es-ES"/>
        </w:rPr>
        <w:t xml:space="preserve">algunos aspectos de la </w:t>
      </w:r>
      <w:r w:rsidR="009D61D8" w:rsidRPr="00067A03">
        <w:rPr>
          <w:rFonts w:cs="Tahoma"/>
          <w:sz w:val="20"/>
          <w:szCs w:val="20"/>
          <w:lang w:val="es-ES"/>
        </w:rPr>
        <w:t xml:space="preserve">campaña de vacunación y </w:t>
      </w:r>
    </w:p>
    <w:p w:rsidR="00D3166E" w:rsidRPr="00067A03" w:rsidRDefault="009D61D8" w:rsidP="00B15EDC">
      <w:pPr>
        <w:pStyle w:val="Prrafodelista"/>
        <w:numPr>
          <w:ilvl w:val="0"/>
          <w:numId w:val="7"/>
        </w:numPr>
        <w:ind w:left="284" w:hanging="284"/>
        <w:rPr>
          <w:rFonts w:cs="Tahoma"/>
          <w:sz w:val="20"/>
          <w:szCs w:val="20"/>
          <w:lang w:val="es-ES"/>
        </w:rPr>
      </w:pPr>
      <w:r w:rsidRPr="00067A03">
        <w:rPr>
          <w:rFonts w:cs="Tahoma"/>
          <w:sz w:val="20"/>
          <w:szCs w:val="20"/>
          <w:lang w:val="es-ES"/>
        </w:rPr>
        <w:t>derechos de propiedad intelectual sobre las vacunas</w:t>
      </w:r>
      <w:r w:rsidR="00D3166E" w:rsidRPr="00067A03">
        <w:rPr>
          <w:rFonts w:cs="Tahoma"/>
          <w:sz w:val="20"/>
          <w:szCs w:val="20"/>
          <w:lang w:val="es-ES"/>
        </w:rPr>
        <w:t>.</w:t>
      </w:r>
    </w:p>
    <w:p w:rsidR="00D07E8E" w:rsidRPr="00067A03" w:rsidRDefault="00D07E8E" w:rsidP="00943143">
      <w:pPr>
        <w:rPr>
          <w:rFonts w:cs="Tahoma"/>
          <w:sz w:val="20"/>
          <w:szCs w:val="20"/>
          <w:lang w:val="es-ES"/>
        </w:rPr>
      </w:pPr>
    </w:p>
    <w:p w:rsidR="00943143" w:rsidRPr="00067A03" w:rsidRDefault="007E507C" w:rsidP="00943143">
      <w:pPr>
        <w:rPr>
          <w:rFonts w:cs="Tahoma"/>
          <w:b/>
          <w:sz w:val="20"/>
          <w:szCs w:val="20"/>
          <w:lang w:val="es-ES"/>
        </w:rPr>
      </w:pPr>
      <w:r w:rsidRPr="00067A03">
        <w:rPr>
          <w:rFonts w:cs="Tahoma"/>
          <w:b/>
          <w:sz w:val="20"/>
          <w:szCs w:val="20"/>
          <w:lang w:val="es-ES"/>
        </w:rPr>
        <w:t xml:space="preserve">Primero. </w:t>
      </w:r>
      <w:r w:rsidR="00943143" w:rsidRPr="00067A03">
        <w:rPr>
          <w:rFonts w:cs="Tahoma"/>
          <w:b/>
          <w:sz w:val="20"/>
          <w:szCs w:val="20"/>
          <w:lang w:val="es-ES"/>
        </w:rPr>
        <w:t>Farmacovigilancia</w:t>
      </w:r>
      <w:r w:rsidR="00D3166E" w:rsidRPr="00067A03">
        <w:rPr>
          <w:rFonts w:cs="Tahoma"/>
          <w:b/>
          <w:sz w:val="20"/>
          <w:szCs w:val="20"/>
          <w:lang w:val="es-ES"/>
        </w:rPr>
        <w:t>,</w:t>
      </w:r>
      <w:r w:rsidR="00943143" w:rsidRPr="00067A03">
        <w:rPr>
          <w:rFonts w:cs="Tahoma"/>
          <w:b/>
          <w:sz w:val="20"/>
          <w:szCs w:val="20"/>
          <w:lang w:val="es-ES"/>
        </w:rPr>
        <w:t xml:space="preserve"> AEMPS</w:t>
      </w:r>
      <w:r w:rsidR="00D3166E" w:rsidRPr="00067A03">
        <w:rPr>
          <w:rFonts w:cs="Tahoma"/>
          <w:b/>
          <w:sz w:val="20"/>
          <w:szCs w:val="20"/>
          <w:lang w:val="es-ES"/>
        </w:rPr>
        <w:t xml:space="preserve"> y EMA</w:t>
      </w:r>
    </w:p>
    <w:p w:rsidR="00943143" w:rsidRPr="00067A03" w:rsidRDefault="00943143" w:rsidP="00943143">
      <w:pPr>
        <w:rPr>
          <w:rFonts w:cs="Tahoma"/>
          <w:sz w:val="20"/>
          <w:szCs w:val="20"/>
          <w:lang w:val="es-ES"/>
        </w:rPr>
      </w:pPr>
    </w:p>
    <w:p w:rsidR="00943143" w:rsidRPr="00067A03" w:rsidRDefault="00D3166E" w:rsidP="00943143">
      <w:pPr>
        <w:rPr>
          <w:rFonts w:cs="Tahoma"/>
          <w:sz w:val="20"/>
          <w:szCs w:val="20"/>
          <w:lang w:val="es-ES"/>
        </w:rPr>
      </w:pPr>
      <w:r w:rsidRPr="00067A03">
        <w:rPr>
          <w:rFonts w:cs="Tahoma"/>
          <w:sz w:val="20"/>
          <w:szCs w:val="20"/>
          <w:lang w:val="es-ES"/>
        </w:rPr>
        <w:t xml:space="preserve">En materia de farmacovigilancia, los comparecientes en esta Comisión representantes de la AEMPS </w:t>
      </w:r>
      <w:r w:rsidR="00943143" w:rsidRPr="00067A03">
        <w:rPr>
          <w:rFonts w:cs="Tahoma"/>
          <w:sz w:val="20"/>
          <w:szCs w:val="20"/>
          <w:lang w:val="es-ES"/>
        </w:rPr>
        <w:t>ha</w:t>
      </w:r>
      <w:r w:rsidRPr="00067A03">
        <w:rPr>
          <w:rFonts w:cs="Tahoma"/>
          <w:sz w:val="20"/>
          <w:szCs w:val="20"/>
          <w:lang w:val="es-ES"/>
        </w:rPr>
        <w:t>n</w:t>
      </w:r>
      <w:r w:rsidR="00943143" w:rsidRPr="00067A03">
        <w:rPr>
          <w:rFonts w:cs="Tahoma"/>
          <w:sz w:val="20"/>
          <w:szCs w:val="20"/>
          <w:lang w:val="es-ES"/>
        </w:rPr>
        <w:t xml:space="preserve"> </w:t>
      </w:r>
      <w:r w:rsidRPr="00067A03">
        <w:rPr>
          <w:rFonts w:cs="Tahoma"/>
          <w:sz w:val="20"/>
          <w:szCs w:val="20"/>
          <w:lang w:val="es-ES"/>
        </w:rPr>
        <w:t xml:space="preserve">descrito los complejos procedimientos y mecanismos de coordinación que </w:t>
      </w:r>
      <w:r w:rsidR="00943143" w:rsidRPr="00067A03">
        <w:rPr>
          <w:rFonts w:cs="Tahoma"/>
          <w:sz w:val="20"/>
          <w:szCs w:val="20"/>
          <w:lang w:val="es-ES"/>
        </w:rPr>
        <w:t>ha</w:t>
      </w:r>
      <w:r w:rsidRPr="00067A03">
        <w:rPr>
          <w:rFonts w:cs="Tahoma"/>
          <w:sz w:val="20"/>
          <w:szCs w:val="20"/>
          <w:lang w:val="es-ES"/>
        </w:rPr>
        <w:t>n desarrollado para hacer frente a la epidemia de SARS-CoV-2</w:t>
      </w:r>
      <w:r w:rsidR="00943143" w:rsidRPr="00067A03">
        <w:rPr>
          <w:rFonts w:cs="Tahoma"/>
          <w:sz w:val="20"/>
          <w:szCs w:val="20"/>
          <w:lang w:val="es-ES"/>
        </w:rPr>
        <w:t>: reuniones, coordinaci</w:t>
      </w:r>
      <w:r w:rsidRPr="00067A03">
        <w:rPr>
          <w:rFonts w:cs="Tahoma"/>
          <w:sz w:val="20"/>
          <w:szCs w:val="20"/>
          <w:lang w:val="es-ES"/>
        </w:rPr>
        <w:t>ón entre diferentes organismos de la administración, con otros estados miembros de la UE</w:t>
      </w:r>
      <w:r w:rsidR="00943143" w:rsidRPr="00067A03">
        <w:rPr>
          <w:rFonts w:cs="Tahoma"/>
          <w:sz w:val="20"/>
          <w:szCs w:val="20"/>
          <w:lang w:val="es-ES"/>
        </w:rPr>
        <w:t xml:space="preserve"> y la EMA, </w:t>
      </w:r>
      <w:r w:rsidRPr="00067A03">
        <w:rPr>
          <w:rFonts w:cs="Tahoma"/>
          <w:sz w:val="20"/>
          <w:szCs w:val="20"/>
          <w:lang w:val="es-ES"/>
        </w:rPr>
        <w:t xml:space="preserve">y </w:t>
      </w:r>
      <w:r w:rsidR="00943143" w:rsidRPr="00067A03">
        <w:rPr>
          <w:rFonts w:cs="Tahoma"/>
          <w:sz w:val="20"/>
          <w:szCs w:val="20"/>
          <w:lang w:val="es-ES"/>
        </w:rPr>
        <w:t>con las CCAA</w:t>
      </w:r>
      <w:r w:rsidRPr="00067A03">
        <w:rPr>
          <w:rFonts w:cs="Tahoma"/>
          <w:sz w:val="20"/>
          <w:szCs w:val="20"/>
          <w:lang w:val="es-ES"/>
        </w:rPr>
        <w:t>. Procedimientos, pero escasos resultados, se si exceptúan los relativos a la alta tasa de vacunación alcanzada</w:t>
      </w:r>
      <w:r w:rsidR="00943143" w:rsidRPr="00067A03">
        <w:rPr>
          <w:rFonts w:cs="Tahoma"/>
          <w:sz w:val="20"/>
          <w:szCs w:val="20"/>
          <w:lang w:val="es-ES"/>
        </w:rPr>
        <w:t>.</w:t>
      </w:r>
    </w:p>
    <w:p w:rsidR="00D06127" w:rsidRDefault="00D06127" w:rsidP="00943143">
      <w:pPr>
        <w:rPr>
          <w:rFonts w:cs="Tahoma"/>
          <w:sz w:val="20"/>
          <w:szCs w:val="20"/>
          <w:lang w:val="es-ES"/>
        </w:rPr>
      </w:pPr>
    </w:p>
    <w:p w:rsidR="00F84015" w:rsidRPr="00067A03" w:rsidRDefault="00943143" w:rsidP="00943143">
      <w:pPr>
        <w:rPr>
          <w:rFonts w:cs="Tahoma"/>
          <w:sz w:val="20"/>
          <w:szCs w:val="20"/>
          <w:lang w:val="es-ES"/>
        </w:rPr>
      </w:pPr>
      <w:r w:rsidRPr="00067A03">
        <w:rPr>
          <w:rFonts w:cs="Tahoma"/>
          <w:sz w:val="20"/>
          <w:szCs w:val="20"/>
          <w:lang w:val="es-ES"/>
        </w:rPr>
        <w:t xml:space="preserve">Análogamente, los Informes de Farmacovigilancia de la AEMPS (el último, </w:t>
      </w:r>
      <w:r w:rsidR="003B1A57" w:rsidRPr="00067A03">
        <w:rPr>
          <w:rFonts w:cs="Tahoma"/>
          <w:sz w:val="20"/>
          <w:szCs w:val="20"/>
          <w:lang w:val="es-ES"/>
        </w:rPr>
        <w:t xml:space="preserve">el </w:t>
      </w:r>
      <w:r w:rsidRPr="00067A03">
        <w:rPr>
          <w:rFonts w:cs="Tahoma"/>
          <w:sz w:val="20"/>
          <w:szCs w:val="20"/>
          <w:lang w:val="es-ES"/>
        </w:rPr>
        <w:t>12º</w:t>
      </w:r>
      <w:r w:rsidR="003B1A57" w:rsidRPr="00067A03">
        <w:rPr>
          <w:rFonts w:cs="Tahoma"/>
          <w:sz w:val="20"/>
          <w:szCs w:val="20"/>
          <w:lang w:val="es-ES"/>
        </w:rPr>
        <w:t>,</w:t>
      </w:r>
      <w:r w:rsidRPr="00067A03">
        <w:rPr>
          <w:rFonts w:cs="Tahoma"/>
          <w:sz w:val="20"/>
          <w:szCs w:val="20"/>
          <w:lang w:val="es-ES"/>
        </w:rPr>
        <w:t xml:space="preserve"> publicado el 26 de enero de 2022</w:t>
      </w:r>
      <w:r w:rsidR="00D3166E" w:rsidRPr="00067A03">
        <w:rPr>
          <w:rFonts w:cs="Tahoma"/>
          <w:sz w:val="20"/>
          <w:szCs w:val="20"/>
          <w:lang w:val="es-ES"/>
        </w:rPr>
        <w:t>, informa</w:t>
      </w:r>
      <w:r w:rsidR="00F84015" w:rsidRPr="00067A03">
        <w:rPr>
          <w:rFonts w:cs="Tahoma"/>
          <w:sz w:val="20"/>
          <w:szCs w:val="20"/>
          <w:lang w:val="es-ES"/>
        </w:rPr>
        <w:t>n</w:t>
      </w:r>
      <w:r w:rsidR="00D3166E" w:rsidRPr="00067A03">
        <w:rPr>
          <w:rFonts w:cs="Tahoma"/>
          <w:sz w:val="20"/>
          <w:szCs w:val="20"/>
          <w:lang w:val="es-ES"/>
        </w:rPr>
        <w:t xml:space="preserve"> de m</w:t>
      </w:r>
      <w:r w:rsidR="00F84015" w:rsidRPr="00067A03">
        <w:rPr>
          <w:rFonts w:cs="Tahoma"/>
          <w:sz w:val="20"/>
          <w:szCs w:val="20"/>
          <w:lang w:val="es-ES"/>
        </w:rPr>
        <w:t>ás de 55</w:t>
      </w:r>
      <w:r w:rsidR="00D3166E" w:rsidRPr="00067A03">
        <w:rPr>
          <w:rFonts w:cs="Tahoma"/>
          <w:sz w:val="20"/>
          <w:szCs w:val="20"/>
          <w:lang w:val="es-ES"/>
        </w:rPr>
        <w:t>.000 notificaciones de efectos adversos</w:t>
      </w:r>
      <w:r w:rsidR="00F84015" w:rsidRPr="00067A03">
        <w:rPr>
          <w:rFonts w:cs="Tahoma"/>
          <w:sz w:val="20"/>
          <w:szCs w:val="20"/>
          <w:lang w:val="es-ES"/>
        </w:rPr>
        <w:t xml:space="preserve"> hasta el 9 de enero</w:t>
      </w:r>
      <w:r w:rsidR="003B1A57" w:rsidRPr="00067A03">
        <w:rPr>
          <w:rFonts w:cs="Tahoma"/>
          <w:sz w:val="20"/>
          <w:szCs w:val="20"/>
          <w:lang w:val="es-ES"/>
        </w:rPr>
        <w:t xml:space="preserve"> de 2022</w:t>
      </w:r>
      <w:r w:rsidR="00F84015" w:rsidRPr="00067A03">
        <w:rPr>
          <w:rFonts w:cs="Tahoma"/>
          <w:sz w:val="20"/>
          <w:szCs w:val="20"/>
          <w:lang w:val="es-ES"/>
        </w:rPr>
        <w:t>. De estas, 375 tuvieron desenlace mortal, y más de 11.000 fueron calificadas como graves, (cito) “entendiéndose como tal cualquier acontecimiento adverso que requiera o prolongue la hospitalización, dé lugar a una discapacidad significativa o persistente, o a una malformación congénita, ponga en peligro la vida o resulte mortal, así como cualquier otra condición que se considere clínicamente significativa” (fin de la cita).</w:t>
      </w:r>
    </w:p>
    <w:p w:rsidR="00E22B71" w:rsidRPr="00067A03" w:rsidRDefault="003B1A57" w:rsidP="003B1A57">
      <w:pPr>
        <w:jc w:val="right"/>
        <w:rPr>
          <w:rFonts w:cs="Tahoma"/>
          <w:sz w:val="20"/>
          <w:szCs w:val="20"/>
          <w:lang w:val="es-ES"/>
        </w:rPr>
      </w:pPr>
      <w:r w:rsidRPr="00067A03">
        <w:rPr>
          <w:rFonts w:cs="Tahoma"/>
          <w:sz w:val="20"/>
          <w:szCs w:val="20"/>
          <w:lang w:val="es-ES"/>
        </w:rPr>
        <w:t xml:space="preserve"> </w:t>
      </w:r>
    </w:p>
    <w:p w:rsidR="00D06127" w:rsidRDefault="00D06127" w:rsidP="00D06127">
      <w:pPr>
        <w:rPr>
          <w:rFonts w:cs="Tahoma"/>
          <w:sz w:val="20"/>
          <w:szCs w:val="20"/>
          <w:lang w:val="es-ES"/>
        </w:rPr>
      </w:pPr>
      <w:r>
        <w:rPr>
          <w:rFonts w:cs="Tahoma"/>
          <w:sz w:val="20"/>
          <w:szCs w:val="20"/>
          <w:lang w:val="es-ES"/>
        </w:rPr>
        <w:t>L</w:t>
      </w:r>
      <w:r w:rsidR="00E22B71" w:rsidRPr="00067A03">
        <w:rPr>
          <w:rFonts w:cs="Tahoma"/>
          <w:sz w:val="20"/>
          <w:szCs w:val="20"/>
          <w:lang w:val="es-ES"/>
        </w:rPr>
        <w:t>a</w:t>
      </w:r>
      <w:r w:rsidR="003B1A57" w:rsidRPr="00067A03">
        <w:rPr>
          <w:rFonts w:cs="Tahoma"/>
          <w:sz w:val="20"/>
          <w:szCs w:val="20"/>
          <w:lang w:val="es-ES"/>
        </w:rPr>
        <w:t xml:space="preserve"> publicación de estos datos puede ser vista como un ejercicio de</w:t>
      </w:r>
      <w:r w:rsidR="00E22B71" w:rsidRPr="00067A03">
        <w:rPr>
          <w:rFonts w:cs="Tahoma"/>
          <w:sz w:val="20"/>
          <w:szCs w:val="20"/>
          <w:lang w:val="es-ES"/>
        </w:rPr>
        <w:t xml:space="preserve"> transparencia, pero </w:t>
      </w:r>
      <w:r w:rsidR="003B1A57" w:rsidRPr="00067A03">
        <w:rPr>
          <w:rFonts w:cs="Tahoma"/>
          <w:sz w:val="20"/>
          <w:szCs w:val="20"/>
          <w:lang w:val="es-ES"/>
        </w:rPr>
        <w:t xml:space="preserve">la realidad es que </w:t>
      </w:r>
      <w:r w:rsidR="00E22B71" w:rsidRPr="00067A03">
        <w:rPr>
          <w:rFonts w:cs="Tahoma"/>
          <w:sz w:val="20"/>
          <w:szCs w:val="20"/>
          <w:lang w:val="es-ES"/>
        </w:rPr>
        <w:t xml:space="preserve">a falta de detalles son difícilmente interpretables. </w:t>
      </w:r>
    </w:p>
    <w:p w:rsidR="00D06127" w:rsidRDefault="00D06127" w:rsidP="00D06127">
      <w:pPr>
        <w:rPr>
          <w:rFonts w:cs="Tahoma"/>
          <w:sz w:val="20"/>
          <w:szCs w:val="20"/>
          <w:lang w:val="es-ES"/>
        </w:rPr>
      </w:pPr>
    </w:p>
    <w:p w:rsidR="00D06127" w:rsidRPr="00067A03" w:rsidRDefault="00D06127" w:rsidP="00D06127">
      <w:pPr>
        <w:rPr>
          <w:rFonts w:cs="Tahoma"/>
          <w:sz w:val="20"/>
          <w:szCs w:val="20"/>
          <w:lang w:val="es-ES"/>
        </w:rPr>
      </w:pPr>
      <w:r>
        <w:rPr>
          <w:rFonts w:cs="Tahoma"/>
          <w:sz w:val="20"/>
          <w:szCs w:val="20"/>
          <w:lang w:val="es-ES"/>
        </w:rPr>
        <w:t>Por ejemplo, a</w:t>
      </w:r>
      <w:r w:rsidRPr="00067A03">
        <w:rPr>
          <w:rFonts w:cs="Tahoma"/>
          <w:sz w:val="20"/>
          <w:szCs w:val="20"/>
          <w:lang w:val="es-ES"/>
        </w:rPr>
        <w:t xml:space="preserve"> pesar de que en esta fecha se estaba iniciando la vacunación infantil y de adolescentes, y de que se citan 872 efectos adversos en menores de 20 años, el Informe no comenta los casos en este grupo de</w:t>
      </w:r>
      <w:r>
        <w:rPr>
          <w:rFonts w:cs="Tahoma"/>
          <w:sz w:val="20"/>
          <w:szCs w:val="20"/>
          <w:lang w:val="es-ES"/>
        </w:rPr>
        <w:t xml:space="preserve"> edad, precisamente el que cioncita</w:t>
      </w:r>
      <w:r w:rsidRPr="00067A03">
        <w:rPr>
          <w:rFonts w:cs="Tahoma"/>
          <w:sz w:val="20"/>
          <w:szCs w:val="20"/>
          <w:lang w:val="es-ES"/>
        </w:rPr>
        <w:t xml:space="preserve"> mayores incertidumbres sobre la conveniencia de la vacunación.</w:t>
      </w:r>
    </w:p>
    <w:p w:rsidR="00D06127" w:rsidRDefault="00D06127" w:rsidP="00943143">
      <w:pPr>
        <w:rPr>
          <w:rFonts w:cs="Tahoma"/>
          <w:sz w:val="20"/>
          <w:szCs w:val="20"/>
          <w:lang w:val="es-ES"/>
        </w:rPr>
      </w:pPr>
    </w:p>
    <w:p w:rsidR="00E22B71" w:rsidRPr="00067A03" w:rsidRDefault="001160A8" w:rsidP="00943143">
      <w:pPr>
        <w:rPr>
          <w:rFonts w:cs="Tahoma"/>
          <w:sz w:val="20"/>
          <w:szCs w:val="20"/>
          <w:lang w:val="es-ES"/>
        </w:rPr>
      </w:pPr>
      <w:r>
        <w:rPr>
          <w:rFonts w:cs="Tahoma"/>
          <w:sz w:val="20"/>
          <w:szCs w:val="20"/>
          <w:lang w:val="es-ES"/>
        </w:rPr>
        <w:lastRenderedPageBreak/>
        <w:t>La transparenciano consiste solamente en subir informes técnicos a la web (que también)</w:t>
      </w:r>
      <w:r w:rsidR="00E22B71" w:rsidRPr="00067A03">
        <w:rPr>
          <w:rFonts w:cs="Tahoma"/>
          <w:sz w:val="20"/>
          <w:szCs w:val="20"/>
          <w:lang w:val="es-ES"/>
        </w:rPr>
        <w:t xml:space="preserve">, sino en iluminar, en ayudar a dirigir la mirada y </w:t>
      </w:r>
      <w:r w:rsidR="003B1A57" w:rsidRPr="00067A03">
        <w:rPr>
          <w:rFonts w:cs="Tahoma"/>
          <w:sz w:val="20"/>
          <w:szCs w:val="20"/>
          <w:lang w:val="es-ES"/>
        </w:rPr>
        <w:t xml:space="preserve">ayudar </w:t>
      </w:r>
      <w:r w:rsidR="00E22B71" w:rsidRPr="00067A03">
        <w:rPr>
          <w:rFonts w:cs="Tahoma"/>
          <w:sz w:val="20"/>
          <w:szCs w:val="20"/>
          <w:lang w:val="es-ES"/>
        </w:rPr>
        <w:t xml:space="preserve">a comprender. De lo contrario, se siembra el terreno para </w:t>
      </w:r>
      <w:r w:rsidR="003B1A57" w:rsidRPr="00067A03">
        <w:rPr>
          <w:rFonts w:cs="Tahoma"/>
          <w:sz w:val="20"/>
          <w:szCs w:val="20"/>
          <w:lang w:val="es-ES"/>
        </w:rPr>
        <w:t xml:space="preserve">que proliferen </w:t>
      </w:r>
      <w:r w:rsidR="00E22B71" w:rsidRPr="00067A03">
        <w:rPr>
          <w:rFonts w:cs="Tahoma"/>
          <w:sz w:val="20"/>
          <w:szCs w:val="20"/>
          <w:lang w:val="es-ES"/>
        </w:rPr>
        <w:t xml:space="preserve">la desconfianza y las suspicacias. </w:t>
      </w:r>
      <w:r w:rsidR="003B1A57" w:rsidRPr="00067A03">
        <w:rPr>
          <w:rFonts w:cs="Tahoma"/>
          <w:sz w:val="20"/>
          <w:szCs w:val="20"/>
          <w:lang w:val="es-ES"/>
        </w:rPr>
        <w:t>Quién sabe si</w:t>
      </w:r>
      <w:r w:rsidR="00943143" w:rsidRPr="00067A03">
        <w:rPr>
          <w:rFonts w:cs="Tahoma"/>
          <w:sz w:val="20"/>
          <w:szCs w:val="20"/>
          <w:lang w:val="es-ES"/>
        </w:rPr>
        <w:t xml:space="preserve"> </w:t>
      </w:r>
      <w:r w:rsidR="00E22B71" w:rsidRPr="00067A03">
        <w:rPr>
          <w:rFonts w:cs="Tahoma"/>
          <w:sz w:val="20"/>
          <w:szCs w:val="20"/>
          <w:lang w:val="es-ES"/>
        </w:rPr>
        <w:t>por una intención</w:t>
      </w:r>
      <w:r w:rsidR="003B1A57" w:rsidRPr="00067A03">
        <w:rPr>
          <w:rFonts w:cs="Tahoma"/>
          <w:sz w:val="20"/>
          <w:szCs w:val="20"/>
          <w:lang w:val="es-ES"/>
        </w:rPr>
        <w:t xml:space="preserve"> de esconder la información en un</w:t>
      </w:r>
      <w:r w:rsidR="00E22B71" w:rsidRPr="00067A03">
        <w:rPr>
          <w:rFonts w:cs="Tahoma"/>
          <w:sz w:val="20"/>
          <w:szCs w:val="20"/>
          <w:lang w:val="es-ES"/>
        </w:rPr>
        <w:t xml:space="preserve">a montaña de datos, o quizá </w:t>
      </w:r>
      <w:r w:rsidR="00943143" w:rsidRPr="00067A03">
        <w:rPr>
          <w:rFonts w:cs="Tahoma"/>
          <w:sz w:val="20"/>
          <w:szCs w:val="20"/>
          <w:lang w:val="es-ES"/>
        </w:rPr>
        <w:t>porque se ent</w:t>
      </w:r>
      <w:r w:rsidR="003B1A57" w:rsidRPr="00067A03">
        <w:rPr>
          <w:rFonts w:cs="Tahoma"/>
          <w:sz w:val="20"/>
          <w:szCs w:val="20"/>
          <w:lang w:val="es-ES"/>
        </w:rPr>
        <w:t xml:space="preserve">iende (equivocadamente) que esta Comisión </w:t>
      </w:r>
      <w:r w:rsidR="00943143" w:rsidRPr="00067A03">
        <w:rPr>
          <w:rFonts w:cs="Tahoma"/>
          <w:sz w:val="20"/>
          <w:szCs w:val="20"/>
          <w:lang w:val="es-ES"/>
        </w:rPr>
        <w:t xml:space="preserve"> no es el foro para debatir cuestiones técnicas</w:t>
      </w:r>
      <w:r w:rsidR="00E22B71" w:rsidRPr="00067A03">
        <w:rPr>
          <w:rFonts w:cs="Tahoma"/>
          <w:sz w:val="20"/>
          <w:szCs w:val="20"/>
          <w:lang w:val="es-ES"/>
        </w:rPr>
        <w:t>, este tipo de datos no ha si</w:t>
      </w:r>
      <w:r w:rsidR="003B1A57" w:rsidRPr="00067A03">
        <w:rPr>
          <w:rFonts w:cs="Tahoma"/>
          <w:sz w:val="20"/>
          <w:szCs w:val="20"/>
          <w:lang w:val="es-ES"/>
        </w:rPr>
        <w:t>do presentado ante Sus Señorías</w:t>
      </w:r>
      <w:r w:rsidR="00E22B71" w:rsidRPr="00067A03">
        <w:rPr>
          <w:rFonts w:cs="Tahoma"/>
          <w:sz w:val="20"/>
          <w:szCs w:val="20"/>
          <w:lang w:val="es-ES"/>
        </w:rPr>
        <w:t>, de modo que la propia Comisión no ha tenido la oportunidad de preguntar sobre e</w:t>
      </w:r>
      <w:r w:rsidR="003B1A57" w:rsidRPr="00067A03">
        <w:rPr>
          <w:rFonts w:cs="Tahoma"/>
          <w:sz w:val="20"/>
          <w:szCs w:val="20"/>
          <w:lang w:val="es-ES"/>
        </w:rPr>
        <w:t>l uso que se hace de ellos</w:t>
      </w:r>
      <w:r w:rsidR="00943143" w:rsidRPr="00067A03">
        <w:rPr>
          <w:rFonts w:cs="Tahoma"/>
          <w:sz w:val="20"/>
          <w:szCs w:val="20"/>
          <w:lang w:val="es-ES"/>
        </w:rPr>
        <w:t xml:space="preserve">. </w:t>
      </w:r>
    </w:p>
    <w:p w:rsidR="00E22B71" w:rsidRPr="00067A03" w:rsidRDefault="00E22B71" w:rsidP="00943143">
      <w:pPr>
        <w:rPr>
          <w:rFonts w:cs="Tahoma"/>
          <w:sz w:val="20"/>
          <w:szCs w:val="20"/>
          <w:lang w:val="es-ES"/>
        </w:rPr>
      </w:pPr>
    </w:p>
    <w:p w:rsidR="00943143" w:rsidRPr="00067A03" w:rsidRDefault="00E22B71" w:rsidP="00943143">
      <w:pPr>
        <w:rPr>
          <w:rFonts w:cs="Tahoma"/>
          <w:sz w:val="20"/>
          <w:szCs w:val="20"/>
          <w:lang w:val="es-ES"/>
        </w:rPr>
      </w:pPr>
      <w:r w:rsidRPr="00067A03">
        <w:rPr>
          <w:rFonts w:cs="Tahoma"/>
          <w:sz w:val="20"/>
          <w:szCs w:val="20"/>
          <w:lang w:val="es-ES"/>
        </w:rPr>
        <w:t>Señorías,</w:t>
      </w:r>
      <w:r w:rsidR="00943143" w:rsidRPr="00067A03">
        <w:rPr>
          <w:rFonts w:cs="Tahoma"/>
          <w:sz w:val="20"/>
          <w:szCs w:val="20"/>
          <w:lang w:val="es-ES"/>
        </w:rPr>
        <w:t xml:space="preserve"> les quiero co</w:t>
      </w:r>
      <w:r w:rsidR="00210B05" w:rsidRPr="00067A03">
        <w:rPr>
          <w:rFonts w:cs="Tahoma"/>
          <w:sz w:val="20"/>
          <w:szCs w:val="20"/>
          <w:lang w:val="es-ES"/>
        </w:rPr>
        <w:t>me</w:t>
      </w:r>
      <w:r w:rsidR="00943143" w:rsidRPr="00067A03">
        <w:rPr>
          <w:rFonts w:cs="Tahoma"/>
          <w:sz w:val="20"/>
          <w:szCs w:val="20"/>
          <w:lang w:val="es-ES"/>
        </w:rPr>
        <w:t>ntar algunas cuestiones técnicas que pu</w:t>
      </w:r>
      <w:r w:rsidRPr="00067A03">
        <w:rPr>
          <w:rFonts w:cs="Tahoma"/>
          <w:sz w:val="20"/>
          <w:szCs w:val="20"/>
          <w:lang w:val="es-ES"/>
        </w:rPr>
        <w:t>ede entender cualquier ciudadano</w:t>
      </w:r>
      <w:r w:rsidR="00210B05" w:rsidRPr="00067A03">
        <w:rPr>
          <w:rFonts w:cs="Tahoma"/>
          <w:sz w:val="20"/>
          <w:szCs w:val="20"/>
          <w:lang w:val="es-ES"/>
        </w:rPr>
        <w:t>, que creo que les pueden ser útiles</w:t>
      </w:r>
      <w:r w:rsidR="00943143" w:rsidRPr="00067A03">
        <w:rPr>
          <w:rFonts w:cs="Tahoma"/>
          <w:sz w:val="20"/>
          <w:szCs w:val="20"/>
          <w:lang w:val="es-ES"/>
        </w:rPr>
        <w:t>.</w:t>
      </w:r>
      <w:r w:rsidR="001160A8">
        <w:rPr>
          <w:rFonts w:cs="Tahoma"/>
          <w:sz w:val="20"/>
          <w:szCs w:val="20"/>
          <w:lang w:val="es-ES"/>
        </w:rPr>
        <w:t xml:space="preserve"> </w:t>
      </w:r>
      <w:r w:rsidR="001160A8" w:rsidRPr="001160A8">
        <w:rPr>
          <w:rFonts w:cs="Tahoma"/>
          <w:b/>
          <w:sz w:val="20"/>
          <w:szCs w:val="20"/>
          <w:lang w:val="es-ES"/>
        </w:rPr>
        <w:t>Do</w:t>
      </w:r>
      <w:r w:rsidR="00D06127" w:rsidRPr="001160A8">
        <w:rPr>
          <w:rFonts w:cs="Tahoma"/>
          <w:b/>
          <w:sz w:val="20"/>
          <w:szCs w:val="20"/>
          <w:lang w:val="es-ES"/>
        </w:rPr>
        <w:t>ce consideraciones</w:t>
      </w:r>
      <w:r w:rsidR="00D06127">
        <w:rPr>
          <w:rFonts w:cs="Tahoma"/>
          <w:sz w:val="20"/>
          <w:szCs w:val="20"/>
          <w:lang w:val="es-ES"/>
        </w:rPr>
        <w:t>.</w:t>
      </w:r>
    </w:p>
    <w:p w:rsidR="00943143" w:rsidRPr="00067A03" w:rsidRDefault="00943143" w:rsidP="00943143">
      <w:pPr>
        <w:rPr>
          <w:rFonts w:cs="Tahoma"/>
          <w:sz w:val="20"/>
          <w:szCs w:val="20"/>
          <w:lang w:val="es-ES"/>
        </w:rPr>
      </w:pPr>
    </w:p>
    <w:p w:rsidR="00C97617" w:rsidRPr="00067A03" w:rsidRDefault="00E22B71" w:rsidP="00C97617">
      <w:pPr>
        <w:pStyle w:val="Prrafodelista"/>
        <w:numPr>
          <w:ilvl w:val="0"/>
          <w:numId w:val="6"/>
        </w:numPr>
        <w:ind w:left="284" w:hanging="284"/>
        <w:rPr>
          <w:rFonts w:cs="Tahoma"/>
          <w:sz w:val="20"/>
          <w:szCs w:val="20"/>
          <w:lang w:val="es-ES"/>
        </w:rPr>
      </w:pPr>
      <w:r w:rsidRPr="00067A03">
        <w:rPr>
          <w:rFonts w:cs="Tahoma"/>
          <w:sz w:val="20"/>
          <w:szCs w:val="20"/>
          <w:lang w:val="es-ES"/>
        </w:rPr>
        <w:t>Las primeras vacunas disponibles contra la covid-19 en España, y las más utilizadas hasta el día de hoy, han sido Comirnaty de Pfizer (54M dosis</w:t>
      </w:r>
      <w:r w:rsidR="00210B05" w:rsidRPr="00067A03">
        <w:rPr>
          <w:rFonts w:cs="Tahoma"/>
          <w:sz w:val="20"/>
          <w:szCs w:val="20"/>
          <w:lang w:val="es-ES"/>
        </w:rPr>
        <w:t xml:space="preserve"> hasta el pasado 9 de enero</w:t>
      </w:r>
      <w:r w:rsidRPr="00067A03">
        <w:rPr>
          <w:rFonts w:cs="Tahoma"/>
          <w:sz w:val="20"/>
          <w:szCs w:val="20"/>
          <w:lang w:val="es-ES"/>
        </w:rPr>
        <w:t>) y Spikevax de Moderna</w:t>
      </w:r>
      <w:r w:rsidR="002C2984" w:rsidRPr="00067A03">
        <w:rPr>
          <w:rFonts w:cs="Tahoma"/>
          <w:sz w:val="20"/>
          <w:szCs w:val="20"/>
          <w:lang w:val="es-ES"/>
        </w:rPr>
        <w:t xml:space="preserve"> (14 M </w:t>
      </w:r>
      <w:r w:rsidR="00210B05" w:rsidRPr="00067A03">
        <w:rPr>
          <w:rFonts w:cs="Tahoma"/>
          <w:sz w:val="20"/>
          <w:szCs w:val="20"/>
          <w:lang w:val="es-ES"/>
        </w:rPr>
        <w:t>dosis</w:t>
      </w:r>
      <w:r w:rsidR="002C2984" w:rsidRPr="00067A03">
        <w:rPr>
          <w:rFonts w:cs="Tahoma"/>
          <w:sz w:val="20"/>
          <w:szCs w:val="20"/>
          <w:lang w:val="es-ES"/>
        </w:rPr>
        <w:t>)</w:t>
      </w:r>
      <w:r w:rsidRPr="00067A03">
        <w:rPr>
          <w:rFonts w:cs="Tahoma"/>
          <w:sz w:val="20"/>
          <w:szCs w:val="20"/>
          <w:lang w:val="es-ES"/>
        </w:rPr>
        <w:t xml:space="preserve">. </w:t>
      </w:r>
      <w:r w:rsidR="002C2984" w:rsidRPr="00067A03">
        <w:rPr>
          <w:rFonts w:cs="Tahoma"/>
          <w:sz w:val="20"/>
          <w:szCs w:val="20"/>
          <w:lang w:val="es-ES"/>
        </w:rPr>
        <w:t xml:space="preserve">Estas dos vacunas se basan en una nueva tecnología. Así como las vacunas tradicionales son gérmenes atenuados o porciones de ellos que estimulan el sistema inmunitario, las vacunas de ARN mensajero introducen </w:t>
      </w:r>
      <w:r w:rsidR="00B43A97" w:rsidRPr="00067A03">
        <w:rPr>
          <w:rFonts w:cs="Tahoma"/>
          <w:sz w:val="20"/>
          <w:szCs w:val="20"/>
          <w:lang w:val="es-ES"/>
        </w:rPr>
        <w:t xml:space="preserve">un ácido nucleico que da instrucciones a </w:t>
      </w:r>
      <w:r w:rsidR="002C2984" w:rsidRPr="00067A03">
        <w:rPr>
          <w:rFonts w:cs="Tahoma"/>
          <w:sz w:val="20"/>
          <w:szCs w:val="20"/>
          <w:lang w:val="es-ES"/>
        </w:rPr>
        <w:t xml:space="preserve">células de la persona vacunada para que fabrique una proteína del virus (la </w:t>
      </w:r>
      <w:r w:rsidR="002C2984" w:rsidRPr="00067A03">
        <w:rPr>
          <w:rFonts w:cs="Tahoma"/>
          <w:i/>
          <w:sz w:val="20"/>
          <w:szCs w:val="20"/>
          <w:lang w:val="es-ES"/>
        </w:rPr>
        <w:t>spike protein</w:t>
      </w:r>
      <w:r w:rsidR="002C2984" w:rsidRPr="00067A03">
        <w:rPr>
          <w:rFonts w:cs="Tahoma"/>
          <w:sz w:val="20"/>
          <w:szCs w:val="20"/>
          <w:lang w:val="es-ES"/>
        </w:rPr>
        <w:t>), que a su vez esti</w:t>
      </w:r>
      <w:r w:rsidR="00B43A97" w:rsidRPr="00067A03">
        <w:rPr>
          <w:rFonts w:cs="Tahoma"/>
          <w:sz w:val="20"/>
          <w:szCs w:val="20"/>
          <w:lang w:val="es-ES"/>
        </w:rPr>
        <w:t>mulará el sistema inmunitario. Conviene recordar que e</w:t>
      </w:r>
      <w:r w:rsidR="002C2984" w:rsidRPr="00067A03">
        <w:rPr>
          <w:rFonts w:cs="Tahoma"/>
          <w:sz w:val="20"/>
          <w:szCs w:val="20"/>
          <w:lang w:val="es-ES"/>
        </w:rPr>
        <w:t>l DRAE define una vacuna como (cito) “preparado de antígenos que, aplicado a un organismo, provoca en él una respuesta de defensa</w:t>
      </w:r>
      <w:r w:rsidR="00943518" w:rsidRPr="00067A03">
        <w:rPr>
          <w:rFonts w:cs="Tahoma"/>
          <w:sz w:val="20"/>
          <w:szCs w:val="20"/>
          <w:lang w:val="es-ES"/>
        </w:rPr>
        <w:t>”. Según esta definición, l</w:t>
      </w:r>
      <w:r w:rsidR="002C2984" w:rsidRPr="00067A03">
        <w:rPr>
          <w:rFonts w:cs="Tahoma"/>
          <w:sz w:val="20"/>
          <w:szCs w:val="20"/>
          <w:lang w:val="es-ES"/>
        </w:rPr>
        <w:t>as llamadas</w:t>
      </w:r>
      <w:r w:rsidR="00CF30D7" w:rsidRPr="00067A03">
        <w:rPr>
          <w:rFonts w:cs="Tahoma"/>
          <w:sz w:val="20"/>
          <w:szCs w:val="20"/>
          <w:lang w:val="es-ES"/>
        </w:rPr>
        <w:t xml:space="preserve"> vacunas de Pfizer y Moderna no son verdaderas vacunas. Son fármacos basados en una tecnología nunca usada en terapéutica</w:t>
      </w:r>
      <w:r w:rsidR="009D61D8" w:rsidRPr="00067A03">
        <w:rPr>
          <w:rFonts w:cs="Tahoma"/>
          <w:sz w:val="20"/>
          <w:szCs w:val="20"/>
          <w:lang w:val="es-ES"/>
        </w:rPr>
        <w:t xml:space="preserve"> hasta ahora</w:t>
      </w:r>
      <w:r w:rsidR="00CF30D7" w:rsidRPr="00067A03">
        <w:rPr>
          <w:rFonts w:cs="Tahoma"/>
          <w:sz w:val="20"/>
          <w:szCs w:val="20"/>
          <w:lang w:val="es-ES"/>
        </w:rPr>
        <w:t>, y menos e</w:t>
      </w:r>
      <w:r w:rsidR="003B1A57" w:rsidRPr="00067A03">
        <w:rPr>
          <w:rFonts w:cs="Tahoma"/>
          <w:sz w:val="20"/>
          <w:szCs w:val="20"/>
          <w:lang w:val="es-ES"/>
        </w:rPr>
        <w:t>n campañas masivas</w:t>
      </w:r>
      <w:r w:rsidR="00CF30D7" w:rsidRPr="00067A03">
        <w:rPr>
          <w:rFonts w:cs="Tahoma"/>
          <w:sz w:val="20"/>
          <w:szCs w:val="20"/>
          <w:lang w:val="es-ES"/>
        </w:rPr>
        <w:t>.</w:t>
      </w:r>
      <w:r w:rsidR="00CD4126" w:rsidRPr="00067A03">
        <w:rPr>
          <w:rFonts w:cs="Tahoma"/>
          <w:sz w:val="20"/>
          <w:szCs w:val="20"/>
          <w:lang w:val="es-ES"/>
        </w:rPr>
        <w:t xml:space="preserve"> De ahí que </w:t>
      </w:r>
      <w:r w:rsidR="00CD4126" w:rsidRPr="00067A03">
        <w:rPr>
          <w:rFonts w:cs="Tahoma"/>
          <w:b/>
          <w:sz w:val="20"/>
          <w:szCs w:val="20"/>
          <w:lang w:val="es-ES"/>
        </w:rPr>
        <w:t>l</w:t>
      </w:r>
      <w:r w:rsidR="00B43A97" w:rsidRPr="00067A03">
        <w:rPr>
          <w:rFonts w:cs="Tahoma"/>
          <w:b/>
          <w:sz w:val="20"/>
          <w:szCs w:val="20"/>
          <w:lang w:val="es-ES"/>
        </w:rPr>
        <w:t>a vacunación masiva supuso un g</w:t>
      </w:r>
      <w:r w:rsidR="00C97617" w:rsidRPr="00067A03">
        <w:rPr>
          <w:rFonts w:cs="Tahoma"/>
          <w:b/>
          <w:sz w:val="20"/>
          <w:szCs w:val="20"/>
          <w:lang w:val="es-ES"/>
        </w:rPr>
        <w:t>ran experimento global</w:t>
      </w:r>
      <w:r w:rsidR="00C97617" w:rsidRPr="00067A03">
        <w:rPr>
          <w:rFonts w:cs="Tahoma"/>
          <w:sz w:val="20"/>
          <w:szCs w:val="20"/>
          <w:lang w:val="es-ES"/>
        </w:rPr>
        <w:t>, sin precedentes</w:t>
      </w:r>
      <w:r w:rsidR="00B43A97" w:rsidRPr="00067A03">
        <w:rPr>
          <w:rFonts w:cs="Tahoma"/>
          <w:sz w:val="20"/>
          <w:szCs w:val="20"/>
          <w:lang w:val="es-ES"/>
        </w:rPr>
        <w:t xml:space="preserve"> en la historia.</w:t>
      </w:r>
    </w:p>
    <w:p w:rsidR="00C97617" w:rsidRPr="00067A03" w:rsidRDefault="00C97617" w:rsidP="00C97617">
      <w:pPr>
        <w:pStyle w:val="Prrafodelista"/>
        <w:ind w:left="284"/>
        <w:rPr>
          <w:rFonts w:cs="Tahoma"/>
          <w:sz w:val="20"/>
          <w:szCs w:val="20"/>
          <w:lang w:val="es-ES"/>
        </w:rPr>
      </w:pPr>
    </w:p>
    <w:p w:rsidR="00C97617" w:rsidRPr="00067A03" w:rsidRDefault="00CF30D7" w:rsidP="00C97617">
      <w:pPr>
        <w:pStyle w:val="Prrafodelista"/>
        <w:numPr>
          <w:ilvl w:val="0"/>
          <w:numId w:val="6"/>
        </w:numPr>
        <w:ind w:left="284" w:hanging="284"/>
        <w:rPr>
          <w:rFonts w:cs="Tahoma"/>
          <w:sz w:val="20"/>
          <w:szCs w:val="20"/>
          <w:lang w:val="es-ES"/>
        </w:rPr>
      </w:pPr>
      <w:r w:rsidRPr="00067A03">
        <w:rPr>
          <w:rFonts w:cs="Tahoma"/>
          <w:sz w:val="20"/>
          <w:szCs w:val="20"/>
          <w:lang w:val="es-ES"/>
        </w:rPr>
        <w:t>Los resultados de los primeros EC</w:t>
      </w:r>
      <w:r w:rsidR="00B43A97" w:rsidRPr="00067A03">
        <w:rPr>
          <w:rFonts w:cs="Tahoma"/>
          <w:sz w:val="20"/>
          <w:szCs w:val="20"/>
          <w:lang w:val="es-ES"/>
        </w:rPr>
        <w:t xml:space="preserve"> sobre las vacunas de Pfizer y de Moderna</w:t>
      </w:r>
      <w:r w:rsidRPr="00067A03">
        <w:rPr>
          <w:rFonts w:cs="Tahoma"/>
          <w:sz w:val="20"/>
          <w:szCs w:val="20"/>
          <w:lang w:val="es-ES"/>
        </w:rPr>
        <w:t>, publicado</w:t>
      </w:r>
      <w:r w:rsidR="00B43A97" w:rsidRPr="00067A03">
        <w:rPr>
          <w:rFonts w:cs="Tahoma"/>
          <w:sz w:val="20"/>
          <w:szCs w:val="20"/>
          <w:lang w:val="es-ES"/>
        </w:rPr>
        <w:t>s en diciembre de 2020, mostraro</w:t>
      </w:r>
      <w:r w:rsidRPr="00067A03">
        <w:rPr>
          <w:rFonts w:cs="Tahoma"/>
          <w:sz w:val="20"/>
          <w:szCs w:val="20"/>
          <w:lang w:val="es-ES"/>
        </w:rPr>
        <w:t xml:space="preserve">n </w:t>
      </w:r>
      <w:r w:rsidR="00B43A97" w:rsidRPr="00067A03">
        <w:rPr>
          <w:rFonts w:cs="Tahoma"/>
          <w:sz w:val="20"/>
          <w:szCs w:val="20"/>
          <w:lang w:val="es-ES"/>
        </w:rPr>
        <w:t>valores de eficacia</w:t>
      </w:r>
      <w:r w:rsidRPr="00067A03">
        <w:rPr>
          <w:rFonts w:cs="Tahoma"/>
          <w:sz w:val="20"/>
          <w:szCs w:val="20"/>
          <w:lang w:val="es-ES"/>
        </w:rPr>
        <w:t xml:space="preserve"> </w:t>
      </w:r>
      <w:r w:rsidR="00C97617" w:rsidRPr="00067A03">
        <w:rPr>
          <w:rFonts w:cs="Tahoma"/>
          <w:sz w:val="20"/>
          <w:szCs w:val="20"/>
          <w:lang w:val="es-ES"/>
        </w:rPr>
        <w:t xml:space="preserve">preventiva </w:t>
      </w:r>
      <w:r w:rsidRPr="00067A03">
        <w:rPr>
          <w:rFonts w:cs="Tahoma"/>
          <w:sz w:val="20"/>
          <w:szCs w:val="20"/>
          <w:lang w:val="es-ES"/>
        </w:rPr>
        <w:t xml:space="preserve">de 90% o más. </w:t>
      </w:r>
      <w:r w:rsidRPr="00067A03">
        <w:rPr>
          <w:rFonts w:cs="Tahoma"/>
          <w:b/>
          <w:sz w:val="20"/>
          <w:szCs w:val="20"/>
          <w:lang w:val="es-ES"/>
        </w:rPr>
        <w:t>Parecían convincentes</w:t>
      </w:r>
      <w:r w:rsidRPr="00067A03">
        <w:rPr>
          <w:rFonts w:cs="Tahoma"/>
          <w:sz w:val="20"/>
          <w:szCs w:val="20"/>
          <w:lang w:val="es-ES"/>
        </w:rPr>
        <w:t>, y el mundo comenzó a respirar (nunca mejor dicho) con la perspectiva de las vacunas, y a suspirar por ellas. Pero debíamos ser conscientes de que entrábamos en un e</w:t>
      </w:r>
      <w:r w:rsidR="00943143" w:rsidRPr="00067A03">
        <w:rPr>
          <w:rFonts w:cs="Tahoma"/>
          <w:sz w:val="20"/>
          <w:szCs w:val="20"/>
          <w:lang w:val="es-ES"/>
        </w:rPr>
        <w:t xml:space="preserve">xperimento </w:t>
      </w:r>
      <w:r w:rsidRPr="00067A03">
        <w:rPr>
          <w:rFonts w:cs="Tahoma"/>
          <w:sz w:val="20"/>
          <w:szCs w:val="20"/>
          <w:lang w:val="es-ES"/>
        </w:rPr>
        <w:t>preventivo vacunal globa</w:t>
      </w:r>
      <w:r w:rsidR="00C97617" w:rsidRPr="00067A03">
        <w:rPr>
          <w:rFonts w:cs="Tahoma"/>
          <w:sz w:val="20"/>
          <w:szCs w:val="20"/>
          <w:lang w:val="es-ES"/>
        </w:rPr>
        <w:t>l</w:t>
      </w:r>
      <w:r w:rsidR="00210B05" w:rsidRPr="00067A03">
        <w:rPr>
          <w:rFonts w:cs="Tahoma"/>
          <w:sz w:val="20"/>
          <w:szCs w:val="20"/>
          <w:lang w:val="es-ES"/>
        </w:rPr>
        <w:t>, por su extensión y por la nueva tecnología que entrañaba</w:t>
      </w:r>
      <w:r w:rsidR="00943143" w:rsidRPr="00067A03">
        <w:rPr>
          <w:rFonts w:cs="Tahoma"/>
          <w:sz w:val="20"/>
          <w:szCs w:val="20"/>
          <w:lang w:val="es-ES"/>
        </w:rPr>
        <w:t>.</w:t>
      </w:r>
      <w:r w:rsidR="007A1CD7" w:rsidRPr="00067A03">
        <w:rPr>
          <w:rFonts w:cs="Tahoma"/>
          <w:sz w:val="20"/>
          <w:szCs w:val="20"/>
          <w:lang w:val="es-ES"/>
        </w:rPr>
        <w:t xml:space="preserve"> </w:t>
      </w:r>
    </w:p>
    <w:p w:rsidR="00C97617" w:rsidRPr="00067A03" w:rsidRDefault="00C97617" w:rsidP="00C97617">
      <w:pPr>
        <w:pStyle w:val="Prrafodelista"/>
        <w:rPr>
          <w:rFonts w:cs="Tahoma"/>
          <w:sz w:val="20"/>
          <w:szCs w:val="20"/>
          <w:lang w:val="es-ES"/>
        </w:rPr>
      </w:pPr>
    </w:p>
    <w:p w:rsidR="00C97617" w:rsidRPr="00067A03" w:rsidRDefault="00CD4126" w:rsidP="00C97617">
      <w:pPr>
        <w:pStyle w:val="Prrafodelista"/>
        <w:numPr>
          <w:ilvl w:val="0"/>
          <w:numId w:val="6"/>
        </w:numPr>
        <w:ind w:left="284" w:hanging="284"/>
        <w:rPr>
          <w:rFonts w:cs="Tahoma"/>
          <w:sz w:val="20"/>
          <w:szCs w:val="20"/>
          <w:lang w:val="es-ES"/>
        </w:rPr>
      </w:pPr>
      <w:r w:rsidRPr="00067A03">
        <w:rPr>
          <w:rFonts w:cs="Tahoma"/>
          <w:sz w:val="20"/>
          <w:szCs w:val="20"/>
          <w:lang w:val="es-ES"/>
        </w:rPr>
        <w:t>Un EC da</w:t>
      </w:r>
      <w:r w:rsidR="00210B05" w:rsidRPr="00067A03">
        <w:rPr>
          <w:rFonts w:cs="Tahoma"/>
          <w:sz w:val="20"/>
          <w:szCs w:val="20"/>
          <w:lang w:val="es-ES"/>
        </w:rPr>
        <w:t xml:space="preserve"> </w:t>
      </w:r>
      <w:r w:rsidR="00210B05" w:rsidRPr="00067A03">
        <w:rPr>
          <w:rFonts w:cs="Tahoma"/>
          <w:b/>
          <w:sz w:val="20"/>
          <w:szCs w:val="20"/>
          <w:lang w:val="es-ES"/>
        </w:rPr>
        <w:t>información preliminar</w:t>
      </w:r>
      <w:r w:rsidR="00210B05" w:rsidRPr="00067A03">
        <w:rPr>
          <w:rFonts w:cs="Tahoma"/>
          <w:sz w:val="20"/>
          <w:szCs w:val="20"/>
          <w:lang w:val="es-ES"/>
        </w:rPr>
        <w:t>, que debe ser comprobada en la práctica (</w:t>
      </w:r>
      <w:r w:rsidR="00C97617" w:rsidRPr="00067A03">
        <w:rPr>
          <w:rFonts w:cs="Tahoma"/>
          <w:sz w:val="20"/>
          <w:szCs w:val="20"/>
          <w:lang w:val="es-ES"/>
        </w:rPr>
        <w:t xml:space="preserve">esto es la </w:t>
      </w:r>
      <w:r w:rsidR="00210B05" w:rsidRPr="00067A03">
        <w:rPr>
          <w:rFonts w:cs="Tahoma"/>
          <w:sz w:val="20"/>
          <w:szCs w:val="20"/>
          <w:lang w:val="es-ES"/>
        </w:rPr>
        <w:t>FE). Por ejemplo, en el EC sobre la vacuna Pfizer-BNT, de más de 43.000 participantes solo cinco fueron mayores de 85 años, y solo un 4% mayores de 74 años. Sin embargo, como todos sabemos, la vacunación comenzó en los mayores de 80 años; la primera persona vacunada</w:t>
      </w:r>
      <w:r w:rsidR="00C97617" w:rsidRPr="00067A03">
        <w:rPr>
          <w:rFonts w:cs="Tahoma"/>
          <w:sz w:val="20"/>
          <w:szCs w:val="20"/>
          <w:lang w:val="es-ES"/>
        </w:rPr>
        <w:t xml:space="preserve"> en España</w:t>
      </w:r>
      <w:r w:rsidR="00210B05" w:rsidRPr="00067A03">
        <w:rPr>
          <w:rFonts w:cs="Tahoma"/>
          <w:sz w:val="20"/>
          <w:szCs w:val="20"/>
          <w:lang w:val="es-ES"/>
        </w:rPr>
        <w:t xml:space="preserve"> tenía 96 años.</w:t>
      </w:r>
    </w:p>
    <w:p w:rsidR="00C97617" w:rsidRPr="00067A03" w:rsidRDefault="00C97617" w:rsidP="00C97617">
      <w:pPr>
        <w:pStyle w:val="Prrafodelista"/>
        <w:rPr>
          <w:rFonts w:cs="Tahoma"/>
          <w:sz w:val="20"/>
          <w:szCs w:val="20"/>
          <w:lang w:val="es-ES"/>
        </w:rPr>
      </w:pPr>
    </w:p>
    <w:p w:rsidR="00C97617" w:rsidRPr="00067A03" w:rsidRDefault="00210B05" w:rsidP="00C97617">
      <w:pPr>
        <w:pStyle w:val="Prrafodelista"/>
        <w:numPr>
          <w:ilvl w:val="0"/>
          <w:numId w:val="6"/>
        </w:numPr>
        <w:ind w:left="284" w:hanging="284"/>
        <w:rPr>
          <w:rFonts w:cs="Tahoma"/>
          <w:sz w:val="20"/>
          <w:szCs w:val="20"/>
          <w:lang w:val="es-ES"/>
        </w:rPr>
      </w:pPr>
      <w:r w:rsidRPr="00067A03">
        <w:rPr>
          <w:rFonts w:cs="Tahoma"/>
          <w:sz w:val="20"/>
          <w:szCs w:val="20"/>
          <w:lang w:val="es-ES"/>
        </w:rPr>
        <w:t xml:space="preserve">Los EC </w:t>
      </w:r>
      <w:r w:rsidR="00C97617" w:rsidRPr="00067A03">
        <w:rPr>
          <w:rFonts w:cs="Tahoma"/>
          <w:sz w:val="20"/>
          <w:szCs w:val="20"/>
          <w:lang w:val="es-ES"/>
        </w:rPr>
        <w:t xml:space="preserve">de medicamentos y vacunas </w:t>
      </w:r>
      <w:r w:rsidRPr="00067A03">
        <w:rPr>
          <w:rFonts w:cs="Tahoma"/>
          <w:sz w:val="20"/>
          <w:szCs w:val="20"/>
          <w:lang w:val="es-ES"/>
        </w:rPr>
        <w:t>son diseñados, realizados e interpretados por la compañía promotora. El control de calidad de los datos recogidos también corre a cuenta del promotor</w:t>
      </w:r>
      <w:r w:rsidR="00CD4126" w:rsidRPr="00067A03">
        <w:rPr>
          <w:rFonts w:cs="Tahoma"/>
          <w:sz w:val="20"/>
          <w:szCs w:val="20"/>
          <w:lang w:val="es-ES"/>
        </w:rPr>
        <w:t>, y el control de la gestión de datos por las administraciones públicas se basa en inspecciones, que son ocasionales</w:t>
      </w:r>
      <w:r w:rsidRPr="00067A03">
        <w:rPr>
          <w:rFonts w:cs="Tahoma"/>
          <w:sz w:val="20"/>
          <w:szCs w:val="20"/>
          <w:lang w:val="es-ES"/>
        </w:rPr>
        <w:t xml:space="preserve">. </w:t>
      </w:r>
      <w:r w:rsidR="003719B3" w:rsidRPr="00067A03">
        <w:rPr>
          <w:rFonts w:cs="Tahoma"/>
          <w:sz w:val="20"/>
          <w:szCs w:val="20"/>
          <w:lang w:val="es-ES"/>
        </w:rPr>
        <w:t xml:space="preserve">Recientemente el BMJ describió irregularidades en el ensayo de Pfizer, conocidas como PfizerGate. </w:t>
      </w:r>
      <w:r w:rsidRPr="00067A03">
        <w:rPr>
          <w:rFonts w:cs="Tahoma"/>
          <w:sz w:val="20"/>
          <w:szCs w:val="20"/>
          <w:lang w:val="es-ES"/>
        </w:rPr>
        <w:t xml:space="preserve">El </w:t>
      </w:r>
      <w:r w:rsidRPr="00067A03">
        <w:rPr>
          <w:rFonts w:cs="Tahoma"/>
          <w:b/>
          <w:sz w:val="20"/>
          <w:szCs w:val="20"/>
          <w:lang w:val="es-ES"/>
        </w:rPr>
        <w:t>fraude</w:t>
      </w:r>
      <w:r w:rsidRPr="00067A03">
        <w:rPr>
          <w:rFonts w:cs="Tahoma"/>
          <w:sz w:val="20"/>
          <w:szCs w:val="20"/>
          <w:lang w:val="es-ES"/>
        </w:rPr>
        <w:t xml:space="preserve"> es habitual</w:t>
      </w:r>
      <w:r w:rsidR="00325961" w:rsidRPr="00067A03">
        <w:rPr>
          <w:rFonts w:cs="Tahoma"/>
          <w:sz w:val="20"/>
          <w:szCs w:val="20"/>
          <w:lang w:val="es-ES"/>
        </w:rPr>
        <w:t>, a menudo en la catalogación y archivo de los acontecimientos adversos</w:t>
      </w:r>
      <w:r w:rsidRPr="00067A03">
        <w:rPr>
          <w:rFonts w:cs="Tahoma"/>
          <w:sz w:val="20"/>
          <w:szCs w:val="20"/>
          <w:lang w:val="es-ES"/>
        </w:rPr>
        <w:t xml:space="preserve">. También </w:t>
      </w:r>
      <w:r w:rsidR="00325961" w:rsidRPr="00067A03">
        <w:rPr>
          <w:rFonts w:cs="Tahoma"/>
          <w:sz w:val="20"/>
          <w:szCs w:val="20"/>
          <w:lang w:val="es-ES"/>
        </w:rPr>
        <w:t>se comete fraude en los EC sobre</w:t>
      </w:r>
      <w:r w:rsidRPr="00067A03">
        <w:rPr>
          <w:rFonts w:cs="Tahoma"/>
          <w:sz w:val="20"/>
          <w:szCs w:val="20"/>
          <w:lang w:val="es-ES"/>
        </w:rPr>
        <w:t xml:space="preserve"> vacunas. </w:t>
      </w:r>
    </w:p>
    <w:p w:rsidR="00C97617" w:rsidRPr="00067A03" w:rsidRDefault="00C97617" w:rsidP="00C97617">
      <w:pPr>
        <w:pStyle w:val="Prrafodelista"/>
        <w:rPr>
          <w:rFonts w:cs="Tahoma"/>
          <w:sz w:val="20"/>
          <w:szCs w:val="20"/>
          <w:lang w:val="es-ES"/>
        </w:rPr>
      </w:pPr>
    </w:p>
    <w:p w:rsidR="00EB657E" w:rsidRPr="0090625D" w:rsidRDefault="00C97617" w:rsidP="00EB657E">
      <w:pPr>
        <w:pStyle w:val="Prrafodelista"/>
        <w:numPr>
          <w:ilvl w:val="1"/>
          <w:numId w:val="6"/>
        </w:numPr>
        <w:ind w:left="709" w:hanging="283"/>
        <w:rPr>
          <w:rFonts w:cs="Tahoma"/>
          <w:sz w:val="20"/>
          <w:szCs w:val="20"/>
          <w:highlight w:val="yellow"/>
          <w:lang w:val="es-ES"/>
        </w:rPr>
      </w:pPr>
      <w:r w:rsidRPr="0090625D">
        <w:rPr>
          <w:rFonts w:cs="Tahoma"/>
          <w:sz w:val="20"/>
          <w:szCs w:val="20"/>
          <w:highlight w:val="yellow"/>
          <w:lang w:val="es-ES"/>
        </w:rPr>
        <w:t>Estoy autorizado a contarles un</w:t>
      </w:r>
      <w:r w:rsidR="003719B3" w:rsidRPr="0090625D">
        <w:rPr>
          <w:rFonts w:cs="Tahoma"/>
          <w:sz w:val="20"/>
          <w:szCs w:val="20"/>
          <w:highlight w:val="yellow"/>
          <w:lang w:val="es-ES"/>
        </w:rPr>
        <w:t xml:space="preserve"> ejemplo. El</w:t>
      </w:r>
      <w:r w:rsidRPr="0090625D">
        <w:rPr>
          <w:rFonts w:cs="Tahoma"/>
          <w:sz w:val="20"/>
          <w:szCs w:val="20"/>
          <w:highlight w:val="yellow"/>
          <w:lang w:val="es-ES"/>
        </w:rPr>
        <w:t xml:space="preserve"> equip</w:t>
      </w:r>
      <w:r w:rsidR="003719B3" w:rsidRPr="0090625D">
        <w:rPr>
          <w:rFonts w:cs="Tahoma"/>
          <w:sz w:val="20"/>
          <w:szCs w:val="20"/>
          <w:highlight w:val="yellow"/>
          <w:lang w:val="es-ES"/>
        </w:rPr>
        <w:t xml:space="preserve">o RxISK, </w:t>
      </w:r>
      <w:r w:rsidRPr="0090625D">
        <w:rPr>
          <w:rFonts w:cs="Tahoma"/>
          <w:sz w:val="20"/>
          <w:szCs w:val="20"/>
          <w:highlight w:val="yellow"/>
          <w:lang w:val="es-ES"/>
        </w:rPr>
        <w:t xml:space="preserve">se </w:t>
      </w:r>
      <w:r w:rsidR="00691ED3" w:rsidRPr="0090625D">
        <w:rPr>
          <w:rFonts w:cs="Tahoma"/>
          <w:sz w:val="20"/>
          <w:szCs w:val="20"/>
          <w:highlight w:val="yellow"/>
          <w:lang w:val="es-ES"/>
        </w:rPr>
        <w:t>auto</w:t>
      </w:r>
      <w:r w:rsidRPr="0090625D">
        <w:rPr>
          <w:rFonts w:cs="Tahoma"/>
          <w:sz w:val="20"/>
          <w:szCs w:val="20"/>
          <w:highlight w:val="yellow"/>
          <w:lang w:val="es-ES"/>
        </w:rPr>
        <w:t xml:space="preserve">describe como un grupo </w:t>
      </w:r>
      <w:r w:rsidR="00210B05" w:rsidRPr="0090625D">
        <w:rPr>
          <w:rFonts w:cs="Tahoma"/>
          <w:sz w:val="20"/>
          <w:szCs w:val="20"/>
          <w:highlight w:val="yellow"/>
          <w:lang w:val="es-ES"/>
        </w:rPr>
        <w:t>“de expertos médicos de alto nivel de reputación internacional en la detección precoz de efectos adversos de medicamentos y en la mitigación de sus riesgos, farmacovigilancia y atención de pacientes”</w:t>
      </w:r>
      <w:r w:rsidR="003719B3" w:rsidRPr="0090625D">
        <w:rPr>
          <w:rFonts w:cs="Tahoma"/>
          <w:sz w:val="20"/>
          <w:szCs w:val="20"/>
          <w:highlight w:val="yellow"/>
          <w:lang w:val="es-ES"/>
        </w:rPr>
        <w:t>. Fue c</w:t>
      </w:r>
      <w:r w:rsidR="00210B05" w:rsidRPr="0090625D">
        <w:rPr>
          <w:rFonts w:cs="Tahoma"/>
          <w:sz w:val="20"/>
          <w:szCs w:val="20"/>
          <w:highlight w:val="yellow"/>
          <w:lang w:val="es-ES"/>
        </w:rPr>
        <w:t>onstituido en 2012 y dirigido por el Profesor David Healy, de la</w:t>
      </w:r>
      <w:r w:rsidR="003719B3" w:rsidRPr="0090625D">
        <w:rPr>
          <w:rFonts w:cs="Tahoma"/>
          <w:sz w:val="20"/>
          <w:szCs w:val="20"/>
          <w:highlight w:val="yellow"/>
          <w:lang w:val="es-ES"/>
        </w:rPr>
        <w:t xml:space="preserve"> Universidad McMaster de Canadá. En colaboración con RxISK, decía,</w:t>
      </w:r>
      <w:r w:rsidR="00210B05" w:rsidRPr="0090625D">
        <w:rPr>
          <w:rFonts w:cs="Tahoma"/>
          <w:sz w:val="20"/>
          <w:szCs w:val="20"/>
          <w:highlight w:val="yellow"/>
          <w:lang w:val="es-ES"/>
        </w:rPr>
        <w:t xml:space="preserve"> hemos entrevistado y revisado hasta ahora la historia clínica de tres participantes en ensayos clínicos (uno en Pfizer adultos, uno en Pfizer pediatría y uno en el de adultos de AZ), que han padecido efectos adversos graves </w:t>
      </w:r>
      <w:r w:rsidRPr="0090625D">
        <w:rPr>
          <w:rFonts w:cs="Tahoma"/>
          <w:sz w:val="20"/>
          <w:szCs w:val="20"/>
          <w:highlight w:val="yellow"/>
          <w:lang w:val="es-ES"/>
        </w:rPr>
        <w:t xml:space="preserve">e incapacitantes, </w:t>
      </w:r>
      <w:r w:rsidR="00210B05" w:rsidRPr="0090625D">
        <w:rPr>
          <w:rFonts w:cs="Tahoma"/>
          <w:sz w:val="20"/>
          <w:szCs w:val="20"/>
          <w:highlight w:val="yellow"/>
          <w:lang w:val="es-ES"/>
        </w:rPr>
        <w:t>y</w:t>
      </w:r>
      <w:r w:rsidR="00691ED3" w:rsidRPr="0090625D">
        <w:rPr>
          <w:rFonts w:cs="Tahoma"/>
          <w:sz w:val="20"/>
          <w:szCs w:val="20"/>
          <w:highlight w:val="yellow"/>
          <w:lang w:val="es-ES"/>
        </w:rPr>
        <w:t xml:space="preserve"> que</w:t>
      </w:r>
      <w:r w:rsidR="00210B05" w:rsidRPr="0090625D">
        <w:rPr>
          <w:rFonts w:cs="Tahoma"/>
          <w:sz w:val="20"/>
          <w:szCs w:val="20"/>
          <w:highlight w:val="yellow"/>
          <w:lang w:val="es-ES"/>
        </w:rPr>
        <w:t xml:space="preserve"> han sido literalmente “desaparecidos”, de los informes de estos ensayos.</w:t>
      </w:r>
      <w:r w:rsidRPr="0090625D">
        <w:rPr>
          <w:rFonts w:cs="Tahoma"/>
          <w:sz w:val="20"/>
          <w:szCs w:val="20"/>
          <w:highlight w:val="yellow"/>
          <w:lang w:val="es-ES"/>
        </w:rPr>
        <w:t xml:space="preserve"> </w:t>
      </w:r>
      <w:r w:rsidR="00691ED3" w:rsidRPr="0090625D">
        <w:rPr>
          <w:rFonts w:cs="Tahoma"/>
          <w:sz w:val="20"/>
          <w:szCs w:val="20"/>
          <w:highlight w:val="yellow"/>
          <w:lang w:val="es-ES"/>
        </w:rPr>
        <w:t xml:space="preserve">Puedo decir que no es cierto que </w:t>
      </w:r>
      <w:r w:rsidR="00691ED3" w:rsidRPr="0090625D">
        <w:rPr>
          <w:rFonts w:cs="Tahoma"/>
          <w:b/>
          <w:sz w:val="20"/>
          <w:szCs w:val="20"/>
          <w:highlight w:val="yellow"/>
          <w:lang w:val="es-ES"/>
        </w:rPr>
        <w:t>no se registraran</w:t>
      </w:r>
      <w:r w:rsidR="00691ED3" w:rsidRPr="0090625D">
        <w:rPr>
          <w:rFonts w:cs="Tahoma"/>
          <w:sz w:val="20"/>
          <w:szCs w:val="20"/>
          <w:highlight w:val="yellow"/>
          <w:lang w:val="es-ES"/>
        </w:rPr>
        <w:t xml:space="preserve"> acontecimientos adversos graves en los EC; por el contrario, comenzamos a tener constancia de que algunos problemas fueron </w:t>
      </w:r>
      <w:r w:rsidR="00691ED3" w:rsidRPr="0090625D">
        <w:rPr>
          <w:rFonts w:cs="Tahoma"/>
          <w:sz w:val="20"/>
          <w:szCs w:val="20"/>
          <w:highlight w:val="yellow"/>
          <w:lang w:val="es-ES"/>
        </w:rPr>
        <w:lastRenderedPageBreak/>
        <w:t xml:space="preserve">escondidos debajo de la alfombra. </w:t>
      </w:r>
      <w:r w:rsidRPr="0090625D">
        <w:rPr>
          <w:rFonts w:cs="Tahoma"/>
          <w:sz w:val="20"/>
          <w:szCs w:val="20"/>
          <w:highlight w:val="yellow"/>
          <w:lang w:val="es-ES"/>
        </w:rPr>
        <w:t xml:space="preserve">Estos casos se harán públicos dentro de unas semanas en la web de </w:t>
      </w:r>
      <w:r w:rsidRPr="0090625D">
        <w:rPr>
          <w:rFonts w:cs="Tahoma"/>
          <w:b/>
          <w:sz w:val="20"/>
          <w:szCs w:val="20"/>
          <w:highlight w:val="yellow"/>
          <w:lang w:val="es-ES"/>
        </w:rPr>
        <w:t>RxISK</w:t>
      </w:r>
      <w:r w:rsidRPr="0090625D">
        <w:rPr>
          <w:rFonts w:cs="Tahoma"/>
          <w:sz w:val="20"/>
          <w:szCs w:val="20"/>
          <w:highlight w:val="yellow"/>
          <w:lang w:val="es-ES"/>
        </w:rPr>
        <w:t>.</w:t>
      </w:r>
    </w:p>
    <w:p w:rsidR="00EB657E" w:rsidRPr="00067A03" w:rsidRDefault="00EB657E" w:rsidP="00EB657E">
      <w:pPr>
        <w:pStyle w:val="Prrafodelista"/>
        <w:ind w:left="709"/>
        <w:rPr>
          <w:rFonts w:cs="Tahoma"/>
          <w:sz w:val="20"/>
          <w:szCs w:val="20"/>
          <w:lang w:val="es-ES"/>
        </w:rPr>
      </w:pPr>
    </w:p>
    <w:p w:rsidR="00210B05" w:rsidRPr="00067A03" w:rsidRDefault="00920EBA" w:rsidP="00EB657E">
      <w:pPr>
        <w:pStyle w:val="Prrafodelista"/>
        <w:numPr>
          <w:ilvl w:val="0"/>
          <w:numId w:val="6"/>
        </w:numPr>
        <w:ind w:left="284" w:hanging="284"/>
        <w:rPr>
          <w:rFonts w:cs="Tahoma"/>
          <w:sz w:val="20"/>
          <w:szCs w:val="20"/>
          <w:lang w:val="es-ES"/>
        </w:rPr>
      </w:pPr>
      <w:r w:rsidRPr="00067A03">
        <w:rPr>
          <w:rFonts w:cs="Tahoma"/>
          <w:sz w:val="20"/>
          <w:szCs w:val="20"/>
          <w:lang w:val="es-ES"/>
        </w:rPr>
        <w:t xml:space="preserve">En las publicaciones de los EC se ofrecen solo datos muy generales, y de forma agrupada. </w:t>
      </w:r>
      <w:r w:rsidR="00691ED3" w:rsidRPr="00067A03">
        <w:rPr>
          <w:rFonts w:cs="Tahoma"/>
          <w:sz w:val="20"/>
          <w:szCs w:val="20"/>
          <w:lang w:val="es-ES"/>
        </w:rPr>
        <w:t>Además del fraude, t</w:t>
      </w:r>
      <w:r w:rsidR="00210B05" w:rsidRPr="00067A03">
        <w:rPr>
          <w:rFonts w:cs="Tahoma"/>
          <w:sz w:val="20"/>
          <w:szCs w:val="20"/>
          <w:lang w:val="es-ES"/>
        </w:rPr>
        <w:t xml:space="preserve">ambién es habitual la </w:t>
      </w:r>
      <w:r w:rsidR="00210B05" w:rsidRPr="00067A03">
        <w:rPr>
          <w:rFonts w:cs="Tahoma"/>
          <w:b/>
          <w:sz w:val="20"/>
          <w:szCs w:val="20"/>
          <w:lang w:val="es-ES"/>
        </w:rPr>
        <w:t>presentación tendenciosa</w:t>
      </w:r>
      <w:r w:rsidR="00210B05" w:rsidRPr="00067A03">
        <w:rPr>
          <w:rFonts w:cs="Tahoma"/>
          <w:sz w:val="20"/>
          <w:szCs w:val="20"/>
          <w:lang w:val="es-ES"/>
        </w:rPr>
        <w:t xml:space="preserve"> de los resultados de los EC.</w:t>
      </w:r>
    </w:p>
    <w:p w:rsidR="00325961" w:rsidRPr="00067A03" w:rsidRDefault="00325961" w:rsidP="00325961">
      <w:pPr>
        <w:pStyle w:val="Prrafodelista"/>
        <w:ind w:left="284"/>
        <w:rPr>
          <w:rFonts w:cs="Tahoma"/>
          <w:sz w:val="20"/>
          <w:szCs w:val="20"/>
          <w:lang w:val="es-ES"/>
        </w:rPr>
      </w:pPr>
    </w:p>
    <w:p w:rsidR="00210B05" w:rsidRPr="00067A03" w:rsidRDefault="00325961" w:rsidP="00210B05">
      <w:pPr>
        <w:pStyle w:val="Prrafodelista"/>
        <w:numPr>
          <w:ilvl w:val="1"/>
          <w:numId w:val="3"/>
        </w:numPr>
        <w:ind w:left="709" w:hanging="283"/>
        <w:rPr>
          <w:rFonts w:cs="Tahoma"/>
          <w:sz w:val="20"/>
          <w:szCs w:val="20"/>
          <w:lang w:val="es-ES"/>
        </w:rPr>
      </w:pPr>
      <w:r w:rsidRPr="00067A03">
        <w:rPr>
          <w:rFonts w:cs="Tahoma"/>
          <w:b/>
          <w:sz w:val="20"/>
          <w:szCs w:val="20"/>
          <w:lang w:val="es-ES"/>
        </w:rPr>
        <w:t>Tendenciosidad que c</w:t>
      </w:r>
      <w:r w:rsidR="00210B05" w:rsidRPr="00067A03">
        <w:rPr>
          <w:rFonts w:cs="Tahoma"/>
          <w:b/>
          <w:sz w:val="20"/>
          <w:szCs w:val="20"/>
          <w:lang w:val="es-ES"/>
        </w:rPr>
        <w:t>onsiste</w:t>
      </w:r>
      <w:r w:rsidR="00210B05" w:rsidRPr="00067A03">
        <w:rPr>
          <w:rFonts w:cs="Tahoma"/>
          <w:sz w:val="20"/>
          <w:szCs w:val="20"/>
          <w:lang w:val="es-ES"/>
        </w:rPr>
        <w:t xml:space="preserve"> por ejemplo en expresar la eficacia en términos relativos, y no absolutos. Por ejemplo, en el ensayo de Pfizer, se registraron 162 casos de covid-19 en el grupo placebo, comparado con 8 en el grup</w:t>
      </w:r>
      <w:r w:rsidR="001C3AA2">
        <w:rPr>
          <w:rFonts w:cs="Tahoma"/>
          <w:sz w:val="20"/>
          <w:szCs w:val="20"/>
          <w:lang w:val="es-ES"/>
        </w:rPr>
        <w:t>o vacunado, una diferencia de 95</w:t>
      </w:r>
      <w:r w:rsidR="00C97617" w:rsidRPr="00067A03">
        <w:rPr>
          <w:rFonts w:cs="Tahoma"/>
          <w:sz w:val="20"/>
          <w:szCs w:val="20"/>
          <w:lang w:val="es-ES"/>
        </w:rPr>
        <w:t xml:space="preserve">% en términos relativos. No obstante, la realidad fue que </w:t>
      </w:r>
      <w:r w:rsidR="008E4665" w:rsidRPr="00067A03">
        <w:rPr>
          <w:rFonts w:cs="Tahoma"/>
          <w:sz w:val="20"/>
          <w:szCs w:val="20"/>
          <w:lang w:val="es-ES"/>
        </w:rPr>
        <w:t>la incidencia de PCR positiva (ni tan solo enfermedad clínica) había sido de menos de 1% en el grupo placebo, comparado con 0,04% en el grupo vacunado, una diferencia de menos de 0,9%</w:t>
      </w:r>
      <w:r w:rsidR="00210B05" w:rsidRPr="00067A03">
        <w:rPr>
          <w:rFonts w:cs="Tahoma"/>
          <w:sz w:val="20"/>
          <w:szCs w:val="20"/>
          <w:lang w:val="es-ES"/>
        </w:rPr>
        <w:t xml:space="preserve"> en términos absolutos.</w:t>
      </w:r>
    </w:p>
    <w:p w:rsidR="00210B05" w:rsidRPr="00067A03" w:rsidRDefault="00210B05" w:rsidP="00325961">
      <w:pPr>
        <w:rPr>
          <w:rFonts w:cs="Tahoma"/>
          <w:sz w:val="20"/>
          <w:szCs w:val="20"/>
          <w:lang w:val="es-ES"/>
        </w:rPr>
      </w:pPr>
    </w:p>
    <w:p w:rsidR="001C3AA2" w:rsidRPr="001160A8" w:rsidRDefault="00210B05" w:rsidP="001160A8">
      <w:pPr>
        <w:pStyle w:val="Prrafodelista"/>
        <w:numPr>
          <w:ilvl w:val="1"/>
          <w:numId w:val="3"/>
        </w:numPr>
        <w:ind w:left="709" w:hanging="283"/>
        <w:rPr>
          <w:rFonts w:cs="Tahoma"/>
          <w:sz w:val="20"/>
          <w:szCs w:val="20"/>
          <w:lang w:val="es-ES"/>
        </w:rPr>
      </w:pPr>
      <w:r w:rsidRPr="00067A03">
        <w:rPr>
          <w:rFonts w:cs="Tahoma"/>
          <w:b/>
          <w:sz w:val="20"/>
          <w:szCs w:val="20"/>
          <w:lang w:val="es-ES"/>
        </w:rPr>
        <w:t>O consistente en ocultar determinados resultados</w:t>
      </w:r>
      <w:r w:rsidRPr="00067A03">
        <w:rPr>
          <w:rFonts w:cs="Tahoma"/>
          <w:sz w:val="20"/>
          <w:szCs w:val="20"/>
          <w:lang w:val="es-ES"/>
        </w:rPr>
        <w:t xml:space="preserve"> en el artículo publicado. </w:t>
      </w:r>
      <w:r w:rsidR="00325961" w:rsidRPr="00067A03">
        <w:rPr>
          <w:rFonts w:cs="Tahoma"/>
          <w:sz w:val="20"/>
          <w:szCs w:val="20"/>
          <w:lang w:val="es-ES"/>
        </w:rPr>
        <w:t>Por ejemplo, en los EC con la vacuna Pfizer se registraron 14 muertes en el grupo placebo, y 15 en el grupo vacunado. En el de Moderna se registró el mismo número de muertes (14) en cada grupo. (No Señorías, los EC no han demostrado que las vacunas salven vidas). El número de fallecimientos registrados en cada grupo no fue ni tan solo mencionado en sendos artículos publicados en el NEJM, y solo</w:t>
      </w:r>
      <w:r w:rsidR="00920EBA" w:rsidRPr="00067A03">
        <w:rPr>
          <w:rFonts w:cs="Tahoma"/>
          <w:sz w:val="20"/>
          <w:szCs w:val="20"/>
          <w:lang w:val="es-ES"/>
        </w:rPr>
        <w:t xml:space="preserve"> se </w:t>
      </w:r>
      <w:r w:rsidR="00325961" w:rsidRPr="00067A03">
        <w:rPr>
          <w:rFonts w:cs="Tahoma"/>
          <w:sz w:val="20"/>
          <w:szCs w:val="20"/>
          <w:lang w:val="es-ES"/>
        </w:rPr>
        <w:t>podía encontrar</w:t>
      </w:r>
      <w:r w:rsidR="00920EBA" w:rsidRPr="00067A03">
        <w:rPr>
          <w:rFonts w:cs="Tahoma"/>
          <w:sz w:val="20"/>
          <w:szCs w:val="20"/>
          <w:lang w:val="es-ES"/>
        </w:rPr>
        <w:t xml:space="preserve"> después de revisar decenas de páginas del material suplementario</w:t>
      </w:r>
      <w:r w:rsidRPr="00067A03">
        <w:rPr>
          <w:rFonts w:cs="Tahoma"/>
          <w:sz w:val="20"/>
          <w:szCs w:val="20"/>
          <w:lang w:val="es-ES"/>
        </w:rPr>
        <w:t>.</w:t>
      </w:r>
    </w:p>
    <w:p w:rsidR="00325961" w:rsidRPr="00067A03" w:rsidRDefault="00325961" w:rsidP="00325961">
      <w:pPr>
        <w:rPr>
          <w:rFonts w:cs="Tahoma"/>
          <w:sz w:val="20"/>
          <w:szCs w:val="20"/>
          <w:lang w:val="es-ES"/>
        </w:rPr>
      </w:pPr>
    </w:p>
    <w:p w:rsidR="00210B05" w:rsidRPr="00067A03" w:rsidRDefault="00920EBA" w:rsidP="00210B05">
      <w:pPr>
        <w:pStyle w:val="Prrafodelista"/>
        <w:numPr>
          <w:ilvl w:val="1"/>
          <w:numId w:val="3"/>
        </w:numPr>
        <w:ind w:left="709" w:hanging="283"/>
        <w:rPr>
          <w:rFonts w:cs="Tahoma"/>
          <w:sz w:val="20"/>
          <w:szCs w:val="20"/>
          <w:lang w:val="es-ES"/>
        </w:rPr>
      </w:pPr>
      <w:r w:rsidRPr="00067A03">
        <w:rPr>
          <w:rFonts w:cs="Tahoma"/>
          <w:sz w:val="20"/>
          <w:szCs w:val="20"/>
          <w:lang w:val="es-ES"/>
        </w:rPr>
        <w:t>No dispongo del tiempo necesario para aburrirles extendiéndome</w:t>
      </w:r>
      <w:r w:rsidR="00210B05" w:rsidRPr="00067A03">
        <w:rPr>
          <w:rFonts w:cs="Tahoma"/>
          <w:sz w:val="20"/>
          <w:szCs w:val="20"/>
          <w:lang w:val="es-ES"/>
        </w:rPr>
        <w:t xml:space="preserve"> en otros detalles. Pero les aseguro que los resultados de los EC promovidos por las compañías farmacéuticas deben ser considerados más bien como indicios, y de </w:t>
      </w:r>
      <w:r w:rsidRPr="00067A03">
        <w:rPr>
          <w:rFonts w:cs="Tahoma"/>
          <w:sz w:val="20"/>
          <w:szCs w:val="20"/>
          <w:lang w:val="es-ES"/>
        </w:rPr>
        <w:t>ningún modo como “</w:t>
      </w:r>
      <w:r w:rsidRPr="00067A03">
        <w:rPr>
          <w:rFonts w:cs="Tahoma"/>
          <w:b/>
          <w:sz w:val="20"/>
          <w:szCs w:val="20"/>
          <w:lang w:val="es-ES"/>
        </w:rPr>
        <w:t>evidencias</w:t>
      </w:r>
      <w:r w:rsidRPr="00067A03">
        <w:rPr>
          <w:rFonts w:cs="Tahoma"/>
          <w:sz w:val="20"/>
          <w:szCs w:val="20"/>
          <w:lang w:val="es-ES"/>
        </w:rPr>
        <w:t>”. Según el DRAE, e</w:t>
      </w:r>
      <w:r w:rsidR="00210B05" w:rsidRPr="00067A03">
        <w:rPr>
          <w:rFonts w:cs="Tahoma"/>
          <w:sz w:val="20"/>
          <w:szCs w:val="20"/>
          <w:lang w:val="es-ES"/>
        </w:rPr>
        <w:t xml:space="preserve">s </w:t>
      </w:r>
      <w:r w:rsidRPr="00067A03">
        <w:rPr>
          <w:rFonts w:cs="Tahoma"/>
          <w:sz w:val="20"/>
          <w:szCs w:val="20"/>
          <w:lang w:val="es-ES"/>
        </w:rPr>
        <w:t>“</w:t>
      </w:r>
      <w:r w:rsidR="00210B05" w:rsidRPr="00067A03">
        <w:rPr>
          <w:rFonts w:cs="Tahoma"/>
          <w:sz w:val="20"/>
          <w:szCs w:val="20"/>
          <w:lang w:val="es-ES"/>
        </w:rPr>
        <w:t>evidente</w:t>
      </w:r>
      <w:r w:rsidRPr="00067A03">
        <w:rPr>
          <w:rFonts w:cs="Tahoma"/>
          <w:sz w:val="20"/>
          <w:szCs w:val="20"/>
          <w:lang w:val="es-ES"/>
        </w:rPr>
        <w:t>” lo que es</w:t>
      </w:r>
      <w:r w:rsidR="00210B05" w:rsidRPr="00067A03">
        <w:rPr>
          <w:rFonts w:cs="Tahoma"/>
          <w:sz w:val="20"/>
          <w:szCs w:val="20"/>
          <w:lang w:val="es-ES"/>
        </w:rPr>
        <w:t xml:space="preserve"> </w:t>
      </w:r>
      <w:r w:rsidRPr="00067A03">
        <w:rPr>
          <w:rFonts w:cs="Tahoma"/>
          <w:sz w:val="20"/>
          <w:szCs w:val="20"/>
          <w:lang w:val="es-ES"/>
        </w:rPr>
        <w:t>“cierto, claro, patente y sin la menor duda”. T</w:t>
      </w:r>
      <w:r w:rsidR="00210B05" w:rsidRPr="00067A03">
        <w:rPr>
          <w:rFonts w:cs="Tahoma"/>
          <w:sz w:val="20"/>
          <w:szCs w:val="20"/>
          <w:lang w:val="es-ES"/>
        </w:rPr>
        <w:t>riste ironía</w:t>
      </w:r>
      <w:r w:rsidRPr="00067A03">
        <w:rPr>
          <w:rFonts w:cs="Tahoma"/>
          <w:sz w:val="20"/>
          <w:szCs w:val="20"/>
          <w:lang w:val="es-ES"/>
        </w:rPr>
        <w:t xml:space="preserve">, </w:t>
      </w:r>
      <w:r w:rsidR="00210B05" w:rsidRPr="00067A03">
        <w:rPr>
          <w:rFonts w:cs="Tahoma"/>
          <w:sz w:val="20"/>
          <w:szCs w:val="20"/>
          <w:lang w:val="es-ES"/>
        </w:rPr>
        <w:t xml:space="preserve">que expertos y dirigentes de instituciones sanitarias sigan </w:t>
      </w:r>
      <w:r w:rsidRPr="00067A03">
        <w:rPr>
          <w:rFonts w:cs="Tahoma"/>
          <w:sz w:val="20"/>
          <w:szCs w:val="20"/>
          <w:lang w:val="es-ES"/>
        </w:rPr>
        <w:t>insistiendo en</w:t>
      </w:r>
      <w:r w:rsidR="00210B05" w:rsidRPr="00067A03">
        <w:rPr>
          <w:rFonts w:cs="Tahoma"/>
          <w:sz w:val="20"/>
          <w:szCs w:val="20"/>
          <w:lang w:val="es-ES"/>
        </w:rPr>
        <w:t xml:space="preserve"> evidencias ante una enfermedad nueva y por tanto poco conocida, imprevisible en su evolución epidémica y en las secuelas que va a dejar.</w:t>
      </w:r>
      <w:r w:rsidR="0080167A" w:rsidRPr="00067A03">
        <w:rPr>
          <w:rFonts w:cs="Tahoma"/>
          <w:sz w:val="20"/>
          <w:szCs w:val="20"/>
          <w:lang w:val="es-ES"/>
        </w:rPr>
        <w:t xml:space="preserve"> Las llamadas evidencias sobre las vacunas no tenían n</w:t>
      </w:r>
      <w:r w:rsidRPr="00067A03">
        <w:rPr>
          <w:rFonts w:cs="Tahoma"/>
          <w:sz w:val="20"/>
          <w:szCs w:val="20"/>
          <w:lang w:val="es-ES"/>
        </w:rPr>
        <w:t xml:space="preserve">ada </w:t>
      </w:r>
      <w:r w:rsidR="0080167A" w:rsidRPr="00067A03">
        <w:rPr>
          <w:rFonts w:cs="Tahoma"/>
          <w:sz w:val="20"/>
          <w:szCs w:val="20"/>
          <w:lang w:val="es-ES"/>
        </w:rPr>
        <w:t xml:space="preserve">de </w:t>
      </w:r>
      <w:r w:rsidRPr="00067A03">
        <w:rPr>
          <w:rFonts w:cs="Tahoma"/>
          <w:sz w:val="20"/>
          <w:szCs w:val="20"/>
          <w:lang w:val="es-ES"/>
        </w:rPr>
        <w:t>cierto, nada</w:t>
      </w:r>
      <w:r w:rsidR="0080167A" w:rsidRPr="00067A03">
        <w:rPr>
          <w:rFonts w:cs="Tahoma"/>
          <w:sz w:val="20"/>
          <w:szCs w:val="20"/>
          <w:lang w:val="es-ES"/>
        </w:rPr>
        <w:t xml:space="preserve"> de</w:t>
      </w:r>
      <w:r w:rsidRPr="00067A03">
        <w:rPr>
          <w:rFonts w:cs="Tahoma"/>
          <w:sz w:val="20"/>
          <w:szCs w:val="20"/>
          <w:lang w:val="es-ES"/>
        </w:rPr>
        <w:t xml:space="preserve"> claro, y, sí, muchas patentes.</w:t>
      </w:r>
    </w:p>
    <w:p w:rsidR="00210B05" w:rsidRPr="00067A03" w:rsidRDefault="00210B05" w:rsidP="00210B05">
      <w:pPr>
        <w:pStyle w:val="Prrafodelista"/>
        <w:ind w:left="709"/>
        <w:rPr>
          <w:rFonts w:cs="Tahoma"/>
          <w:sz w:val="20"/>
          <w:szCs w:val="20"/>
          <w:lang w:val="es-ES"/>
        </w:rPr>
      </w:pPr>
    </w:p>
    <w:p w:rsidR="00325961" w:rsidRPr="00067A03" w:rsidRDefault="00210B05" w:rsidP="00EB657E">
      <w:pPr>
        <w:pStyle w:val="Prrafodelista"/>
        <w:numPr>
          <w:ilvl w:val="0"/>
          <w:numId w:val="6"/>
        </w:numPr>
        <w:ind w:left="284" w:hanging="284"/>
        <w:rPr>
          <w:rFonts w:cs="Tahoma"/>
          <w:sz w:val="20"/>
          <w:szCs w:val="20"/>
          <w:lang w:val="es-ES"/>
        </w:rPr>
      </w:pPr>
      <w:r w:rsidRPr="00067A03">
        <w:rPr>
          <w:rFonts w:cs="Tahoma"/>
          <w:sz w:val="20"/>
          <w:szCs w:val="20"/>
          <w:lang w:val="es-ES"/>
        </w:rPr>
        <w:t>En cualquier caso,</w:t>
      </w:r>
      <w:r w:rsidR="00325961" w:rsidRPr="00067A03">
        <w:rPr>
          <w:rFonts w:cs="Tahoma"/>
          <w:sz w:val="20"/>
          <w:szCs w:val="20"/>
          <w:lang w:val="es-ES"/>
        </w:rPr>
        <w:t xml:space="preserve"> los resultados obtenidos en cualquier</w:t>
      </w:r>
      <w:r w:rsidRPr="00067A03">
        <w:rPr>
          <w:rFonts w:cs="Tahoma"/>
          <w:sz w:val="20"/>
          <w:szCs w:val="20"/>
          <w:lang w:val="es-ES"/>
        </w:rPr>
        <w:t xml:space="preserve"> EC deben ser revisados con detalle por expertos en la materia, lo que requiere tiempo, sin duda, pero también transparencia. </w:t>
      </w:r>
    </w:p>
    <w:p w:rsidR="00210B05" w:rsidRPr="00067A03" w:rsidRDefault="00210B05" w:rsidP="00EB657E">
      <w:pPr>
        <w:pStyle w:val="Prrafodelista"/>
        <w:numPr>
          <w:ilvl w:val="1"/>
          <w:numId w:val="6"/>
        </w:numPr>
        <w:ind w:left="709" w:hanging="283"/>
        <w:rPr>
          <w:rFonts w:cs="Tahoma"/>
          <w:sz w:val="20"/>
          <w:szCs w:val="20"/>
          <w:lang w:val="es-ES"/>
        </w:rPr>
      </w:pPr>
      <w:r w:rsidRPr="00067A03">
        <w:rPr>
          <w:rFonts w:cs="Tahoma"/>
          <w:sz w:val="20"/>
          <w:szCs w:val="20"/>
          <w:lang w:val="es-ES"/>
        </w:rPr>
        <w:t>Pfizer, por ejemplo, anunció que haría pública la totalidad de los resultados de su EC principal sobre la vacuna en 2025. P</w:t>
      </w:r>
      <w:r w:rsidR="00D76E02" w:rsidRPr="00067A03">
        <w:rPr>
          <w:rFonts w:cs="Tahoma"/>
          <w:sz w:val="20"/>
          <w:szCs w:val="20"/>
          <w:lang w:val="es-ES"/>
        </w:rPr>
        <w:t>ues bien, p</w:t>
      </w:r>
      <w:r w:rsidRPr="00067A03">
        <w:rPr>
          <w:rFonts w:cs="Tahoma"/>
          <w:sz w:val="20"/>
          <w:szCs w:val="20"/>
          <w:lang w:val="es-ES"/>
        </w:rPr>
        <w:t xml:space="preserve">arece que ni esta fecha era cierta. El pasado mes de enero, a petición de </w:t>
      </w:r>
      <w:r w:rsidR="00D76E02" w:rsidRPr="00067A03">
        <w:rPr>
          <w:rFonts w:cs="Tahoma"/>
          <w:sz w:val="20"/>
          <w:szCs w:val="20"/>
          <w:lang w:val="es-ES"/>
        </w:rPr>
        <w:t xml:space="preserve">varias </w:t>
      </w:r>
      <w:r w:rsidRPr="00067A03">
        <w:rPr>
          <w:rFonts w:cs="Tahoma"/>
          <w:sz w:val="20"/>
          <w:szCs w:val="20"/>
          <w:lang w:val="es-ES"/>
        </w:rPr>
        <w:t xml:space="preserve">organizaciones civiles por la transparencia, un juez federal de EEUU obligó a la FDA y Pfizer a hacer públicos estos resultados en un lapso de meses, en lugar de los 75 años que pretendía la compañía y </w:t>
      </w:r>
      <w:r w:rsidR="00325961" w:rsidRPr="00067A03">
        <w:rPr>
          <w:rFonts w:cs="Tahoma"/>
          <w:sz w:val="20"/>
          <w:szCs w:val="20"/>
          <w:lang w:val="es-ES"/>
        </w:rPr>
        <w:t xml:space="preserve">que </w:t>
      </w:r>
      <w:r w:rsidRPr="00067A03">
        <w:rPr>
          <w:rFonts w:cs="Tahoma"/>
          <w:sz w:val="20"/>
          <w:szCs w:val="20"/>
          <w:lang w:val="es-ES"/>
        </w:rPr>
        <w:t>había pactado con la FDA.</w:t>
      </w:r>
    </w:p>
    <w:p w:rsidR="00325961" w:rsidRPr="00067A03" w:rsidRDefault="00325961" w:rsidP="00325961">
      <w:pPr>
        <w:pStyle w:val="Prrafodelista"/>
        <w:ind w:left="709"/>
        <w:rPr>
          <w:rFonts w:cs="Tahoma"/>
          <w:sz w:val="20"/>
          <w:szCs w:val="20"/>
          <w:lang w:val="es-ES"/>
        </w:rPr>
      </w:pPr>
    </w:p>
    <w:p w:rsidR="00210B05" w:rsidRPr="00067A03" w:rsidRDefault="00210B05" w:rsidP="00EB657E">
      <w:pPr>
        <w:pStyle w:val="Prrafodelista"/>
        <w:numPr>
          <w:ilvl w:val="0"/>
          <w:numId w:val="6"/>
        </w:numPr>
        <w:ind w:left="284" w:hanging="284"/>
        <w:rPr>
          <w:rFonts w:cs="Tahoma"/>
          <w:sz w:val="20"/>
          <w:szCs w:val="20"/>
          <w:lang w:val="es-ES"/>
        </w:rPr>
      </w:pPr>
      <w:r w:rsidRPr="00067A03">
        <w:rPr>
          <w:rFonts w:cs="Tahoma"/>
          <w:sz w:val="20"/>
          <w:szCs w:val="20"/>
          <w:lang w:val="es-ES"/>
        </w:rPr>
        <w:t xml:space="preserve">Además, </w:t>
      </w:r>
      <w:r w:rsidR="00325961" w:rsidRPr="00067A03">
        <w:rPr>
          <w:rFonts w:cs="Tahoma"/>
          <w:sz w:val="20"/>
          <w:szCs w:val="20"/>
          <w:lang w:val="es-ES"/>
        </w:rPr>
        <w:t>lo</w:t>
      </w:r>
      <w:r w:rsidRPr="00067A03">
        <w:rPr>
          <w:rFonts w:cs="Tahoma"/>
          <w:sz w:val="20"/>
          <w:szCs w:val="20"/>
          <w:lang w:val="es-ES"/>
        </w:rPr>
        <w:t>s resultados</w:t>
      </w:r>
      <w:r w:rsidR="00325961" w:rsidRPr="00067A03">
        <w:rPr>
          <w:rFonts w:cs="Tahoma"/>
          <w:sz w:val="20"/>
          <w:szCs w:val="20"/>
          <w:lang w:val="es-ES"/>
        </w:rPr>
        <w:t xml:space="preserve"> de los EC</w:t>
      </w:r>
      <w:r w:rsidRPr="00067A03">
        <w:rPr>
          <w:rFonts w:cs="Tahoma"/>
          <w:sz w:val="20"/>
          <w:szCs w:val="20"/>
          <w:lang w:val="es-ES"/>
        </w:rPr>
        <w:t xml:space="preserve"> deben ser </w:t>
      </w:r>
      <w:r w:rsidRPr="00067A03">
        <w:rPr>
          <w:rFonts w:cs="Tahoma"/>
          <w:b/>
          <w:sz w:val="20"/>
          <w:szCs w:val="20"/>
          <w:lang w:val="es-ES"/>
        </w:rPr>
        <w:t>confirmados por la práctica</w:t>
      </w:r>
      <w:r w:rsidRPr="00067A03">
        <w:rPr>
          <w:rFonts w:cs="Tahoma"/>
          <w:sz w:val="20"/>
          <w:szCs w:val="20"/>
          <w:lang w:val="es-ES"/>
        </w:rPr>
        <w:t xml:space="preserve">, y esto requiere un </w:t>
      </w:r>
      <w:r w:rsidR="00325961" w:rsidRPr="00067A03">
        <w:rPr>
          <w:rFonts w:cs="Tahoma"/>
          <w:sz w:val="20"/>
          <w:szCs w:val="20"/>
          <w:lang w:val="es-ES"/>
        </w:rPr>
        <w:t xml:space="preserve">muy </w:t>
      </w:r>
      <w:r w:rsidRPr="00067A03">
        <w:rPr>
          <w:rFonts w:cs="Tahoma"/>
          <w:sz w:val="20"/>
          <w:szCs w:val="20"/>
          <w:lang w:val="es-ES"/>
        </w:rPr>
        <w:t>cuidadoso seguimiento epidemiológico</w:t>
      </w:r>
      <w:r w:rsidR="00325961" w:rsidRPr="00067A03">
        <w:rPr>
          <w:rFonts w:cs="Tahoma"/>
          <w:sz w:val="20"/>
          <w:szCs w:val="20"/>
          <w:lang w:val="es-ES"/>
        </w:rPr>
        <w:t xml:space="preserve"> del experimento global de la vacunación contra la covid-19</w:t>
      </w:r>
      <w:r w:rsidRPr="00067A03">
        <w:rPr>
          <w:rFonts w:cs="Tahoma"/>
          <w:sz w:val="20"/>
          <w:szCs w:val="20"/>
          <w:lang w:val="es-ES"/>
        </w:rPr>
        <w:t>.</w:t>
      </w:r>
      <w:r w:rsidR="00EB657E" w:rsidRPr="00067A03">
        <w:rPr>
          <w:rFonts w:cs="Tahoma"/>
          <w:sz w:val="20"/>
          <w:szCs w:val="20"/>
          <w:lang w:val="es-ES"/>
        </w:rPr>
        <w:t xml:space="preserve"> </w:t>
      </w:r>
      <w:r w:rsidR="00D76E02" w:rsidRPr="00067A03">
        <w:rPr>
          <w:rFonts w:cs="Tahoma"/>
          <w:sz w:val="20"/>
          <w:szCs w:val="20"/>
          <w:lang w:val="es-ES"/>
        </w:rPr>
        <w:t>De ahí la necesidad</w:t>
      </w:r>
      <w:r w:rsidRPr="00067A03">
        <w:rPr>
          <w:rFonts w:cs="Tahoma"/>
          <w:sz w:val="20"/>
          <w:szCs w:val="20"/>
          <w:lang w:val="es-ES"/>
        </w:rPr>
        <w:t xml:space="preserve"> de</w:t>
      </w:r>
      <w:r w:rsidR="00D76E02" w:rsidRPr="00067A03">
        <w:rPr>
          <w:rFonts w:cs="Tahoma"/>
          <w:sz w:val="20"/>
          <w:szCs w:val="20"/>
          <w:lang w:val="es-ES"/>
        </w:rPr>
        <w:t xml:space="preserve"> la</w:t>
      </w:r>
      <w:r w:rsidRPr="00067A03">
        <w:rPr>
          <w:rFonts w:cs="Tahoma"/>
          <w:sz w:val="20"/>
          <w:szCs w:val="20"/>
          <w:lang w:val="es-ES"/>
        </w:rPr>
        <w:t xml:space="preserve"> farmacovigilancia.</w:t>
      </w:r>
    </w:p>
    <w:p w:rsidR="00CF30D7" w:rsidRPr="00067A03" w:rsidRDefault="00CF30D7" w:rsidP="00CF30D7">
      <w:pPr>
        <w:pStyle w:val="Prrafodelista"/>
        <w:rPr>
          <w:rFonts w:cs="Tahoma"/>
          <w:sz w:val="20"/>
          <w:szCs w:val="20"/>
          <w:lang w:val="es-ES"/>
        </w:rPr>
      </w:pPr>
    </w:p>
    <w:p w:rsidR="00943143" w:rsidRPr="00067A03" w:rsidRDefault="00325961" w:rsidP="00EB657E">
      <w:pPr>
        <w:pStyle w:val="Prrafodelista"/>
        <w:numPr>
          <w:ilvl w:val="0"/>
          <w:numId w:val="6"/>
        </w:numPr>
        <w:ind w:left="284" w:hanging="284"/>
        <w:rPr>
          <w:rFonts w:cs="Tahoma"/>
          <w:sz w:val="20"/>
          <w:szCs w:val="20"/>
          <w:lang w:val="es-ES"/>
        </w:rPr>
      </w:pPr>
      <w:r w:rsidRPr="00067A03">
        <w:rPr>
          <w:rFonts w:cs="Tahoma"/>
          <w:sz w:val="20"/>
          <w:szCs w:val="20"/>
          <w:lang w:val="es-ES"/>
        </w:rPr>
        <w:t>A pesar de los resultados aparente</w:t>
      </w:r>
      <w:r w:rsidR="00EB657E" w:rsidRPr="00067A03">
        <w:rPr>
          <w:rFonts w:cs="Tahoma"/>
          <w:sz w:val="20"/>
          <w:szCs w:val="20"/>
          <w:lang w:val="es-ES"/>
        </w:rPr>
        <w:t>mente optimistas de los EC sobre</w:t>
      </w:r>
      <w:r w:rsidRPr="00067A03">
        <w:rPr>
          <w:rFonts w:cs="Tahoma"/>
          <w:sz w:val="20"/>
          <w:szCs w:val="20"/>
          <w:lang w:val="es-ES"/>
        </w:rPr>
        <w:t xml:space="preserve"> las vacunas contra la covid-19</w:t>
      </w:r>
      <w:r w:rsidR="00210B05" w:rsidRPr="00067A03">
        <w:rPr>
          <w:rFonts w:cs="Tahoma"/>
          <w:sz w:val="20"/>
          <w:szCs w:val="20"/>
          <w:lang w:val="es-ES"/>
        </w:rPr>
        <w:t>, había</w:t>
      </w:r>
      <w:r w:rsidRPr="00067A03">
        <w:rPr>
          <w:rFonts w:cs="Tahoma"/>
          <w:sz w:val="20"/>
          <w:szCs w:val="20"/>
          <w:lang w:val="es-ES"/>
        </w:rPr>
        <w:t xml:space="preserve"> en enero de 2021</w:t>
      </w:r>
      <w:r w:rsidR="00210B05" w:rsidRPr="00067A03">
        <w:rPr>
          <w:rFonts w:cs="Tahoma"/>
          <w:sz w:val="20"/>
          <w:szCs w:val="20"/>
          <w:lang w:val="es-ES"/>
        </w:rPr>
        <w:t xml:space="preserve"> por lo menos </w:t>
      </w:r>
      <w:r w:rsidR="00D76E02" w:rsidRPr="00067A03">
        <w:rPr>
          <w:rFonts w:cs="Tahoma"/>
          <w:b/>
          <w:sz w:val="20"/>
          <w:szCs w:val="20"/>
          <w:lang w:val="es-ES"/>
        </w:rPr>
        <w:t>cinco</w:t>
      </w:r>
      <w:r w:rsidR="00210B05" w:rsidRPr="00067A03">
        <w:rPr>
          <w:rFonts w:cs="Tahoma"/>
          <w:b/>
          <w:sz w:val="20"/>
          <w:szCs w:val="20"/>
          <w:lang w:val="es-ES"/>
        </w:rPr>
        <w:t xml:space="preserve"> áreas de incertidumbre</w:t>
      </w:r>
      <w:r w:rsidRPr="00067A03">
        <w:rPr>
          <w:rFonts w:cs="Tahoma"/>
          <w:sz w:val="20"/>
          <w:szCs w:val="20"/>
          <w:lang w:val="es-ES"/>
        </w:rPr>
        <w:t>:</w:t>
      </w:r>
    </w:p>
    <w:p w:rsidR="00325961" w:rsidRPr="00067A03" w:rsidRDefault="00325961" w:rsidP="00325961">
      <w:pPr>
        <w:rPr>
          <w:rFonts w:cs="Tahoma"/>
          <w:sz w:val="20"/>
          <w:szCs w:val="20"/>
          <w:lang w:val="es-ES"/>
        </w:rPr>
      </w:pPr>
    </w:p>
    <w:p w:rsidR="00943143" w:rsidRPr="00067A03" w:rsidRDefault="00943143" w:rsidP="00EB657E">
      <w:pPr>
        <w:pStyle w:val="Prrafodelista"/>
        <w:numPr>
          <w:ilvl w:val="1"/>
          <w:numId w:val="6"/>
        </w:numPr>
        <w:ind w:left="709" w:hanging="283"/>
        <w:rPr>
          <w:rFonts w:cs="Tahoma"/>
          <w:sz w:val="20"/>
          <w:szCs w:val="20"/>
          <w:lang w:val="es-ES"/>
        </w:rPr>
      </w:pPr>
      <w:r w:rsidRPr="00067A03">
        <w:rPr>
          <w:rFonts w:cs="Tahoma"/>
          <w:b/>
          <w:sz w:val="20"/>
          <w:szCs w:val="20"/>
          <w:lang w:val="es-ES"/>
        </w:rPr>
        <w:t>Duración.</w:t>
      </w:r>
      <w:r w:rsidRPr="00067A03">
        <w:rPr>
          <w:rFonts w:cs="Tahoma"/>
          <w:sz w:val="20"/>
          <w:szCs w:val="20"/>
          <w:lang w:val="es-ES"/>
        </w:rPr>
        <w:t xml:space="preserve"> Disminución de 20-30% de la eficacia relativa en 6 meses. En lugar de tomar nota de esta insuficiencia de las vacunas, los fabricantes acogieron esta noticia con subidas de su cotización en bolsa: si el producto es ineficaz, habrá que ir repitiendo dosis, si es posible durante toda la vida, el sueño de cualquier vendedor de medicamentos</w:t>
      </w:r>
      <w:r w:rsidR="005F4594" w:rsidRPr="00067A03">
        <w:rPr>
          <w:rFonts w:cs="Tahoma"/>
          <w:sz w:val="20"/>
          <w:szCs w:val="20"/>
          <w:lang w:val="es-ES"/>
        </w:rPr>
        <w:t xml:space="preserve"> </w:t>
      </w:r>
      <w:r w:rsidR="00EB657E" w:rsidRPr="00067A03">
        <w:rPr>
          <w:rFonts w:cs="Tahoma"/>
          <w:sz w:val="20"/>
          <w:szCs w:val="20"/>
          <w:lang w:val="es-ES"/>
        </w:rPr>
        <w:t xml:space="preserve">para el colesterol o la osteoporosis, o </w:t>
      </w:r>
      <w:r w:rsidR="005F4594" w:rsidRPr="00067A03">
        <w:rPr>
          <w:rFonts w:cs="Tahoma"/>
          <w:sz w:val="20"/>
          <w:szCs w:val="20"/>
          <w:lang w:val="es-ES"/>
        </w:rPr>
        <w:t>de crecepelos</w:t>
      </w:r>
      <w:r w:rsidRPr="00067A03">
        <w:rPr>
          <w:rFonts w:cs="Tahoma"/>
          <w:sz w:val="20"/>
          <w:szCs w:val="20"/>
          <w:lang w:val="es-ES"/>
        </w:rPr>
        <w:t xml:space="preserve">. </w:t>
      </w:r>
      <w:r w:rsidR="00D76E02" w:rsidRPr="00067A03">
        <w:rPr>
          <w:rFonts w:cs="Tahoma"/>
          <w:b/>
          <w:sz w:val="20"/>
          <w:szCs w:val="20"/>
          <w:lang w:val="es-ES"/>
        </w:rPr>
        <w:t>La realidad es que necesitamos mejores vacunas, en términos de eficacia protectora</w:t>
      </w:r>
      <w:r w:rsidR="00D76E02" w:rsidRPr="00067A03">
        <w:rPr>
          <w:rFonts w:cs="Tahoma"/>
          <w:sz w:val="20"/>
          <w:szCs w:val="20"/>
          <w:lang w:val="es-ES"/>
        </w:rPr>
        <w:t>.</w:t>
      </w:r>
    </w:p>
    <w:p w:rsidR="00EB657E" w:rsidRPr="00067A03" w:rsidRDefault="00EB657E" w:rsidP="00EB657E">
      <w:pPr>
        <w:pStyle w:val="Prrafodelista"/>
        <w:ind w:left="709"/>
        <w:rPr>
          <w:rFonts w:cs="Tahoma"/>
          <w:sz w:val="20"/>
          <w:szCs w:val="20"/>
          <w:lang w:val="es-ES"/>
        </w:rPr>
      </w:pPr>
    </w:p>
    <w:p w:rsidR="00D76E02" w:rsidRPr="00067A03" w:rsidRDefault="00943143" w:rsidP="00EB657E">
      <w:pPr>
        <w:pStyle w:val="Prrafodelista"/>
        <w:numPr>
          <w:ilvl w:val="1"/>
          <w:numId w:val="6"/>
        </w:numPr>
        <w:ind w:left="709" w:hanging="283"/>
        <w:rPr>
          <w:rFonts w:cs="Tahoma"/>
          <w:sz w:val="20"/>
          <w:szCs w:val="20"/>
          <w:lang w:val="es-ES"/>
        </w:rPr>
      </w:pPr>
      <w:r w:rsidRPr="00067A03">
        <w:rPr>
          <w:rFonts w:cs="Tahoma"/>
          <w:b/>
          <w:sz w:val="20"/>
          <w:szCs w:val="20"/>
          <w:lang w:val="es-ES"/>
        </w:rPr>
        <w:lastRenderedPageBreak/>
        <w:t>Variantes.</w:t>
      </w:r>
      <w:r w:rsidR="00EB657E" w:rsidRPr="00067A03">
        <w:rPr>
          <w:rFonts w:cs="Tahoma"/>
          <w:sz w:val="20"/>
          <w:szCs w:val="20"/>
          <w:lang w:val="es-ES"/>
        </w:rPr>
        <w:t xml:space="preserve"> La </w:t>
      </w:r>
      <w:r w:rsidR="00D76E02" w:rsidRPr="00067A03">
        <w:rPr>
          <w:rFonts w:cs="Tahoma"/>
          <w:sz w:val="20"/>
          <w:szCs w:val="20"/>
          <w:lang w:val="es-ES"/>
        </w:rPr>
        <w:t xml:space="preserve">eficacia de las vacunas frente a la cepa Delta fue inferior a su eficacia frente a la cepa Alfa. La </w:t>
      </w:r>
      <w:r w:rsidR="00EB657E" w:rsidRPr="00067A03">
        <w:rPr>
          <w:rFonts w:cs="Tahoma"/>
          <w:sz w:val="20"/>
          <w:szCs w:val="20"/>
          <w:lang w:val="es-ES"/>
        </w:rPr>
        <w:t xml:space="preserve">experiencia </w:t>
      </w:r>
      <w:r w:rsidR="00D76E02" w:rsidRPr="00067A03">
        <w:rPr>
          <w:rFonts w:cs="Tahoma"/>
          <w:sz w:val="20"/>
          <w:szCs w:val="20"/>
          <w:lang w:val="es-ES"/>
        </w:rPr>
        <w:t xml:space="preserve">reciente </w:t>
      </w:r>
      <w:r w:rsidR="00EB657E" w:rsidRPr="00067A03">
        <w:rPr>
          <w:rFonts w:cs="Tahoma"/>
          <w:sz w:val="20"/>
          <w:szCs w:val="20"/>
          <w:lang w:val="es-ES"/>
        </w:rPr>
        <w:t>ha mostrado que las vacunas no han funcionado frente a la cepa Omicron.</w:t>
      </w:r>
      <w:r w:rsidRPr="00067A03">
        <w:rPr>
          <w:rFonts w:cs="Tahoma"/>
          <w:sz w:val="20"/>
          <w:szCs w:val="20"/>
          <w:lang w:val="es-ES"/>
        </w:rPr>
        <w:t xml:space="preserve"> </w:t>
      </w:r>
    </w:p>
    <w:p w:rsidR="00D76E02" w:rsidRPr="00067A03" w:rsidRDefault="00D76E02" w:rsidP="00D76E02">
      <w:pPr>
        <w:pStyle w:val="Prrafodelista"/>
        <w:rPr>
          <w:rFonts w:cs="Tahoma"/>
          <w:sz w:val="20"/>
          <w:szCs w:val="20"/>
          <w:lang w:val="es-ES"/>
        </w:rPr>
      </w:pPr>
    </w:p>
    <w:p w:rsidR="00943143" w:rsidRPr="00067A03" w:rsidRDefault="00D76E02" w:rsidP="00D76E02">
      <w:pPr>
        <w:pStyle w:val="Prrafodelista"/>
        <w:numPr>
          <w:ilvl w:val="2"/>
          <w:numId w:val="6"/>
        </w:numPr>
        <w:ind w:left="1134" w:hanging="283"/>
        <w:rPr>
          <w:rFonts w:cs="Tahoma"/>
          <w:sz w:val="20"/>
          <w:szCs w:val="20"/>
          <w:lang w:val="es-ES"/>
        </w:rPr>
      </w:pPr>
      <w:r w:rsidRPr="00067A03">
        <w:rPr>
          <w:rFonts w:cs="Tahoma"/>
          <w:sz w:val="20"/>
          <w:szCs w:val="20"/>
          <w:lang w:val="es-ES"/>
        </w:rPr>
        <w:t>Por ejemplo, lo</w:t>
      </w:r>
      <w:r w:rsidR="00943143" w:rsidRPr="00067A03">
        <w:rPr>
          <w:rFonts w:cs="Tahoma"/>
          <w:sz w:val="20"/>
          <w:szCs w:val="20"/>
          <w:lang w:val="es-ES"/>
        </w:rPr>
        <w:t>s datos oficiales reproducidos por el Prof. Luis Carlos Silva relativos a Cata</w:t>
      </w:r>
      <w:r w:rsidR="00EA1349" w:rsidRPr="00067A03">
        <w:rPr>
          <w:rFonts w:cs="Tahoma"/>
          <w:sz w:val="20"/>
          <w:szCs w:val="20"/>
          <w:lang w:val="es-ES"/>
        </w:rPr>
        <w:t xml:space="preserve">luña muestran que entre el </w:t>
      </w:r>
      <w:r w:rsidR="001C3AA2">
        <w:rPr>
          <w:rFonts w:cs="Tahoma"/>
          <w:sz w:val="20"/>
          <w:szCs w:val="20"/>
          <w:lang w:val="es-ES"/>
        </w:rPr>
        <w:t xml:space="preserve">23/12 </w:t>
      </w:r>
      <w:r w:rsidR="00EA1349" w:rsidRPr="00067A03">
        <w:rPr>
          <w:rFonts w:cs="Tahoma"/>
          <w:sz w:val="20"/>
          <w:szCs w:val="20"/>
          <w:lang w:val="es-ES"/>
        </w:rPr>
        <w:t xml:space="preserve">y el </w:t>
      </w:r>
      <w:r w:rsidR="00943143" w:rsidRPr="00067A03">
        <w:rPr>
          <w:rFonts w:cs="Tahoma"/>
          <w:sz w:val="20"/>
          <w:szCs w:val="20"/>
          <w:lang w:val="es-ES"/>
        </w:rPr>
        <w:t>12/01/22, se registraron 37.200 diagnósticos de covid-19 por PCR en personas vacunadas, y 30.350 en no vacunadas.</w:t>
      </w:r>
      <w:r w:rsidR="00EA1349" w:rsidRPr="00067A03">
        <w:rPr>
          <w:rFonts w:cs="Tahoma"/>
          <w:sz w:val="20"/>
          <w:szCs w:val="20"/>
          <w:lang w:val="es-ES"/>
        </w:rPr>
        <w:t xml:space="preserve"> </w:t>
      </w:r>
    </w:p>
    <w:p w:rsidR="00EB657E" w:rsidRPr="00067A03" w:rsidRDefault="00EB657E" w:rsidP="00D76E02">
      <w:pPr>
        <w:ind w:left="1134" w:hanging="283"/>
        <w:rPr>
          <w:rFonts w:cs="Tahoma"/>
          <w:sz w:val="20"/>
          <w:szCs w:val="20"/>
          <w:lang w:val="es-ES"/>
        </w:rPr>
      </w:pPr>
    </w:p>
    <w:p w:rsidR="00A772CC" w:rsidRPr="00067A03" w:rsidRDefault="00A772CC" w:rsidP="00EB657E">
      <w:pPr>
        <w:pStyle w:val="Prrafodelista"/>
        <w:numPr>
          <w:ilvl w:val="1"/>
          <w:numId w:val="6"/>
        </w:numPr>
        <w:ind w:left="709" w:hanging="283"/>
        <w:rPr>
          <w:rFonts w:cs="Tahoma"/>
          <w:sz w:val="20"/>
          <w:szCs w:val="20"/>
          <w:lang w:val="es-ES"/>
        </w:rPr>
      </w:pPr>
      <w:r w:rsidRPr="00067A03">
        <w:rPr>
          <w:rFonts w:cs="Tahoma"/>
          <w:sz w:val="20"/>
          <w:szCs w:val="20"/>
          <w:lang w:val="es-ES"/>
        </w:rPr>
        <w:t xml:space="preserve">¿Evitan la </w:t>
      </w:r>
      <w:r w:rsidRPr="00067A03">
        <w:rPr>
          <w:rFonts w:cs="Tahoma"/>
          <w:b/>
          <w:sz w:val="20"/>
          <w:szCs w:val="20"/>
          <w:lang w:val="es-ES"/>
        </w:rPr>
        <w:t>transmisión</w:t>
      </w:r>
      <w:r w:rsidRPr="00067A03">
        <w:rPr>
          <w:rFonts w:cs="Tahoma"/>
          <w:sz w:val="20"/>
          <w:szCs w:val="20"/>
          <w:lang w:val="es-ES"/>
        </w:rPr>
        <w:t xml:space="preserve"> o contagio?</w:t>
      </w:r>
      <w:r w:rsidR="005F4594" w:rsidRPr="00067A03">
        <w:rPr>
          <w:rFonts w:cs="Tahoma"/>
          <w:sz w:val="20"/>
          <w:szCs w:val="20"/>
          <w:lang w:val="es-ES"/>
        </w:rPr>
        <w:t xml:space="preserve"> </w:t>
      </w:r>
      <w:r w:rsidR="00EA1349" w:rsidRPr="00067A03">
        <w:rPr>
          <w:rFonts w:cs="Tahoma"/>
          <w:sz w:val="20"/>
          <w:szCs w:val="20"/>
          <w:lang w:val="es-ES"/>
        </w:rPr>
        <w:t>Está claro que las vacunas no evitan la transmisión de la enfermedad, de modo que el pasaporte o certificado COVID carecía de base científica, y además puede haber contribuido a aumentar el número de casos, puesto que daba una falsa sensación de seguridad a quienes lo obtenían.</w:t>
      </w:r>
    </w:p>
    <w:p w:rsidR="00EB657E" w:rsidRPr="00067A03" w:rsidRDefault="00EB657E" w:rsidP="00EB657E">
      <w:pPr>
        <w:rPr>
          <w:rFonts w:cs="Tahoma"/>
          <w:sz w:val="20"/>
          <w:szCs w:val="20"/>
          <w:lang w:val="es-ES"/>
        </w:rPr>
      </w:pPr>
    </w:p>
    <w:p w:rsidR="00EA1349" w:rsidRPr="00067A03" w:rsidRDefault="00943143" w:rsidP="00EB657E">
      <w:pPr>
        <w:pStyle w:val="Prrafodelista"/>
        <w:numPr>
          <w:ilvl w:val="1"/>
          <w:numId w:val="6"/>
        </w:numPr>
        <w:ind w:left="709" w:hanging="283"/>
        <w:rPr>
          <w:rFonts w:cs="Tahoma"/>
          <w:sz w:val="20"/>
          <w:szCs w:val="20"/>
          <w:lang w:val="es-ES"/>
        </w:rPr>
      </w:pPr>
      <w:r w:rsidRPr="00067A03">
        <w:rPr>
          <w:rFonts w:cs="Tahoma"/>
          <w:b/>
          <w:sz w:val="20"/>
          <w:szCs w:val="20"/>
          <w:lang w:val="es-ES"/>
        </w:rPr>
        <w:t>Efectos adversos.</w:t>
      </w:r>
      <w:r w:rsidRPr="00067A03">
        <w:rPr>
          <w:rFonts w:cs="Tahoma"/>
          <w:sz w:val="20"/>
          <w:szCs w:val="20"/>
          <w:lang w:val="es-ES"/>
        </w:rPr>
        <w:t xml:space="preserve"> </w:t>
      </w:r>
    </w:p>
    <w:p w:rsidR="00EA1349" w:rsidRPr="00067A03" w:rsidRDefault="00EA1349" w:rsidP="00EA1349">
      <w:pPr>
        <w:pStyle w:val="Prrafodelista"/>
        <w:rPr>
          <w:rFonts w:cs="Tahoma"/>
          <w:sz w:val="20"/>
          <w:szCs w:val="20"/>
          <w:lang w:val="es-ES"/>
        </w:rPr>
      </w:pPr>
    </w:p>
    <w:p w:rsidR="00EA1349" w:rsidRPr="00067A03" w:rsidRDefault="00943143" w:rsidP="00EA1349">
      <w:pPr>
        <w:pStyle w:val="Prrafodelista"/>
        <w:numPr>
          <w:ilvl w:val="2"/>
          <w:numId w:val="6"/>
        </w:numPr>
        <w:ind w:left="993" w:hanging="284"/>
        <w:rPr>
          <w:rFonts w:cs="Tahoma"/>
          <w:sz w:val="20"/>
          <w:szCs w:val="20"/>
          <w:lang w:val="es-ES"/>
        </w:rPr>
      </w:pPr>
      <w:r w:rsidRPr="00067A03">
        <w:rPr>
          <w:rFonts w:cs="Tahoma"/>
          <w:sz w:val="20"/>
          <w:szCs w:val="20"/>
          <w:lang w:val="es-ES"/>
        </w:rPr>
        <w:t xml:space="preserve">Ejemplo trombosis. </w:t>
      </w:r>
      <w:r w:rsidR="00EA1349" w:rsidRPr="00067A03">
        <w:rPr>
          <w:rFonts w:cs="Tahoma"/>
          <w:sz w:val="20"/>
          <w:szCs w:val="20"/>
          <w:lang w:val="es-ES"/>
        </w:rPr>
        <w:t>Respuesta deplorable de EMA. Señal a finales de enero. PRAC se re</w:t>
      </w:r>
      <w:r w:rsidR="002852AB">
        <w:rPr>
          <w:rFonts w:cs="Tahoma"/>
          <w:sz w:val="20"/>
          <w:szCs w:val="20"/>
          <w:lang w:val="es-ES"/>
        </w:rPr>
        <w:t xml:space="preserve">úne ea principios de </w:t>
      </w:r>
      <w:r w:rsidR="00EA1349" w:rsidRPr="00067A03">
        <w:rPr>
          <w:rFonts w:cs="Tahoma"/>
          <w:sz w:val="20"/>
          <w:szCs w:val="20"/>
          <w:lang w:val="es-ES"/>
        </w:rPr>
        <w:t>marzo. Rueda de Prensa 31 de marzo: los responsables de FV afirmaro</w:t>
      </w:r>
      <w:r w:rsidR="00D72CEC" w:rsidRPr="00067A03">
        <w:rPr>
          <w:rFonts w:cs="Tahoma"/>
          <w:sz w:val="20"/>
          <w:szCs w:val="20"/>
          <w:lang w:val="es-ES"/>
        </w:rPr>
        <w:t>n que no disponían ni tan siquiera de cifras de vacunación por edad y sexo en los estados miembros</w:t>
      </w:r>
      <w:r w:rsidRPr="00067A03">
        <w:rPr>
          <w:rFonts w:cs="Tahoma"/>
          <w:sz w:val="20"/>
          <w:szCs w:val="20"/>
          <w:lang w:val="es-ES"/>
        </w:rPr>
        <w:t xml:space="preserve">. </w:t>
      </w:r>
      <w:r w:rsidR="00EA1349" w:rsidRPr="00067A03">
        <w:rPr>
          <w:rFonts w:cs="Tahoma"/>
          <w:sz w:val="20"/>
          <w:szCs w:val="20"/>
          <w:lang w:val="es-ES"/>
        </w:rPr>
        <w:t>Además, se insistía</w:t>
      </w:r>
      <w:r w:rsidR="00221086" w:rsidRPr="00067A03">
        <w:rPr>
          <w:rFonts w:cs="Tahoma"/>
          <w:sz w:val="20"/>
          <w:szCs w:val="20"/>
          <w:lang w:val="es-ES"/>
        </w:rPr>
        <w:t xml:space="preserve"> en baja incidencia, sin distin</w:t>
      </w:r>
      <w:r w:rsidR="00EA1349" w:rsidRPr="00067A03">
        <w:rPr>
          <w:rFonts w:cs="Tahoma"/>
          <w:sz w:val="20"/>
          <w:szCs w:val="20"/>
          <w:lang w:val="es-ES"/>
        </w:rPr>
        <w:t xml:space="preserve">guir la real de la notificada. </w:t>
      </w:r>
      <w:r w:rsidRPr="00067A03">
        <w:rPr>
          <w:rFonts w:cs="Tahoma"/>
          <w:sz w:val="20"/>
          <w:szCs w:val="20"/>
          <w:lang w:val="es-ES"/>
        </w:rPr>
        <w:t>Infranotificación</w:t>
      </w:r>
      <w:r w:rsidR="00EA1349" w:rsidRPr="00067A03">
        <w:rPr>
          <w:rFonts w:cs="Tahoma"/>
          <w:sz w:val="20"/>
          <w:szCs w:val="20"/>
          <w:lang w:val="es-ES"/>
        </w:rPr>
        <w:t>:</w:t>
      </w:r>
      <w:r w:rsidR="00EB657E" w:rsidRPr="00067A03">
        <w:rPr>
          <w:rFonts w:cs="Tahoma"/>
          <w:sz w:val="20"/>
          <w:szCs w:val="20"/>
          <w:lang w:val="es-ES"/>
        </w:rPr>
        <w:t xml:space="preserve"> Cataluña 1/1 a 18/4 2021:</w:t>
      </w:r>
      <w:r w:rsidRPr="00067A03">
        <w:rPr>
          <w:rFonts w:cs="Tahoma"/>
          <w:sz w:val="20"/>
          <w:szCs w:val="20"/>
          <w:lang w:val="es-ES"/>
        </w:rPr>
        <w:t xml:space="preserve"> 53</w:t>
      </w:r>
      <w:r w:rsidR="00EB657E" w:rsidRPr="00067A03">
        <w:rPr>
          <w:rFonts w:cs="Tahoma"/>
          <w:sz w:val="20"/>
          <w:szCs w:val="20"/>
          <w:lang w:val="es-ES"/>
        </w:rPr>
        <w:t xml:space="preserve"> notificados</w:t>
      </w:r>
      <w:r w:rsidRPr="00067A03">
        <w:rPr>
          <w:rFonts w:cs="Tahoma"/>
          <w:sz w:val="20"/>
          <w:szCs w:val="20"/>
          <w:lang w:val="es-ES"/>
        </w:rPr>
        <w:t xml:space="preserve"> vs 540</w:t>
      </w:r>
      <w:r w:rsidR="00221086" w:rsidRPr="00067A03">
        <w:rPr>
          <w:rFonts w:cs="Tahoma"/>
          <w:sz w:val="20"/>
          <w:szCs w:val="20"/>
          <w:lang w:val="es-ES"/>
        </w:rPr>
        <w:t xml:space="preserve"> en bases de datos sanitarias.  N</w:t>
      </w:r>
      <w:r w:rsidRPr="00067A03">
        <w:rPr>
          <w:rFonts w:cs="Tahoma"/>
          <w:sz w:val="20"/>
          <w:szCs w:val="20"/>
          <w:lang w:val="es-ES"/>
        </w:rPr>
        <w:t>o más con AZ que con Pfizer o Moderna.</w:t>
      </w:r>
    </w:p>
    <w:p w:rsidR="00221086" w:rsidRPr="00067A03" w:rsidRDefault="00221086" w:rsidP="00221086">
      <w:pPr>
        <w:pStyle w:val="Prrafodelista"/>
        <w:ind w:left="993"/>
        <w:rPr>
          <w:rFonts w:cs="Tahoma"/>
          <w:sz w:val="20"/>
          <w:szCs w:val="20"/>
          <w:lang w:val="es-ES"/>
        </w:rPr>
      </w:pPr>
    </w:p>
    <w:p w:rsidR="00943143" w:rsidRPr="00067A03" w:rsidRDefault="00EB657E" w:rsidP="00EA1349">
      <w:pPr>
        <w:pStyle w:val="Prrafodelista"/>
        <w:numPr>
          <w:ilvl w:val="2"/>
          <w:numId w:val="6"/>
        </w:numPr>
        <w:ind w:left="993" w:hanging="284"/>
        <w:rPr>
          <w:rFonts w:cs="Tahoma"/>
          <w:sz w:val="20"/>
          <w:szCs w:val="20"/>
          <w:lang w:val="es-ES"/>
        </w:rPr>
      </w:pPr>
      <w:r w:rsidRPr="00067A03">
        <w:rPr>
          <w:rFonts w:cs="Tahoma"/>
          <w:sz w:val="20"/>
          <w:szCs w:val="20"/>
          <w:lang w:val="es-ES"/>
        </w:rPr>
        <w:t xml:space="preserve">Miocarditis y pericarditis. </w:t>
      </w:r>
      <w:r w:rsidR="00221086" w:rsidRPr="00067A03">
        <w:rPr>
          <w:rFonts w:cs="Tahoma"/>
          <w:sz w:val="20"/>
          <w:szCs w:val="20"/>
          <w:lang w:val="es-ES"/>
        </w:rPr>
        <w:t xml:space="preserve">Al igual que con las trombosis, las estimaciones de incidencia han ido subiendo. </w:t>
      </w:r>
      <w:r w:rsidR="00943143" w:rsidRPr="00067A03">
        <w:rPr>
          <w:rFonts w:cs="Tahoma"/>
          <w:sz w:val="20"/>
          <w:szCs w:val="20"/>
          <w:lang w:val="es-ES"/>
        </w:rPr>
        <w:t>Problemas cardíacos en atletas, jugadores de futbol y espectadores vacunados.</w:t>
      </w:r>
    </w:p>
    <w:p w:rsidR="00986DB4" w:rsidRPr="00067A03" w:rsidRDefault="00986DB4" w:rsidP="00986DB4">
      <w:pPr>
        <w:rPr>
          <w:rFonts w:cs="Tahoma"/>
          <w:sz w:val="20"/>
          <w:szCs w:val="20"/>
          <w:lang w:val="es-ES"/>
        </w:rPr>
      </w:pPr>
    </w:p>
    <w:p w:rsidR="00943143" w:rsidRPr="00067A03" w:rsidRDefault="00943143" w:rsidP="00EB657E">
      <w:pPr>
        <w:pStyle w:val="Prrafodelista"/>
        <w:numPr>
          <w:ilvl w:val="1"/>
          <w:numId w:val="6"/>
        </w:numPr>
        <w:ind w:left="709" w:hanging="283"/>
        <w:rPr>
          <w:rFonts w:cs="Tahoma"/>
          <w:sz w:val="20"/>
          <w:szCs w:val="20"/>
          <w:lang w:val="es-ES"/>
        </w:rPr>
      </w:pPr>
      <w:r w:rsidRPr="00067A03">
        <w:rPr>
          <w:rFonts w:cs="Tahoma"/>
          <w:b/>
          <w:sz w:val="20"/>
          <w:szCs w:val="20"/>
          <w:lang w:val="es-ES"/>
        </w:rPr>
        <w:t>Acceso</w:t>
      </w:r>
      <w:r w:rsidR="00221086" w:rsidRPr="00067A03">
        <w:rPr>
          <w:rFonts w:cs="Tahoma"/>
          <w:b/>
          <w:sz w:val="20"/>
          <w:szCs w:val="20"/>
          <w:lang w:val="es-ES"/>
        </w:rPr>
        <w:t xml:space="preserve"> a escala global</w:t>
      </w:r>
      <w:r w:rsidR="00EB657E" w:rsidRPr="00067A03">
        <w:rPr>
          <w:rFonts w:cs="Tahoma"/>
          <w:b/>
          <w:sz w:val="20"/>
          <w:szCs w:val="20"/>
          <w:lang w:val="es-ES"/>
        </w:rPr>
        <w:t>.</w:t>
      </w:r>
      <w:r w:rsidR="00986DB4" w:rsidRPr="00067A03">
        <w:rPr>
          <w:rFonts w:cs="Tahoma"/>
          <w:sz w:val="20"/>
          <w:szCs w:val="20"/>
          <w:lang w:val="es-ES"/>
        </w:rPr>
        <w:t xml:space="preserve"> D Fernando Lamata.</w:t>
      </w:r>
    </w:p>
    <w:p w:rsidR="00986DB4" w:rsidRPr="00067A03" w:rsidRDefault="00986DB4" w:rsidP="00986DB4">
      <w:pPr>
        <w:pStyle w:val="Prrafodelista"/>
        <w:ind w:left="709"/>
        <w:rPr>
          <w:rFonts w:cs="Tahoma"/>
          <w:sz w:val="20"/>
          <w:szCs w:val="20"/>
          <w:lang w:val="es-ES"/>
        </w:rPr>
      </w:pPr>
    </w:p>
    <w:p w:rsidR="00943518" w:rsidRPr="00067A03" w:rsidRDefault="004F3309" w:rsidP="00986DB4">
      <w:pPr>
        <w:pStyle w:val="Prrafodelista"/>
        <w:numPr>
          <w:ilvl w:val="0"/>
          <w:numId w:val="6"/>
        </w:numPr>
        <w:autoSpaceDE w:val="0"/>
        <w:autoSpaceDN w:val="0"/>
        <w:adjustRightInd w:val="0"/>
        <w:ind w:left="426" w:hanging="426"/>
        <w:rPr>
          <w:rFonts w:cs="Tahoma"/>
          <w:sz w:val="20"/>
          <w:szCs w:val="20"/>
          <w:lang w:val="es-ES" w:eastAsia="ca-ES"/>
        </w:rPr>
      </w:pPr>
      <w:r w:rsidRPr="00067A03">
        <w:rPr>
          <w:rFonts w:cs="Tahoma"/>
          <w:sz w:val="20"/>
          <w:szCs w:val="20"/>
          <w:lang w:val="es-ES" w:eastAsia="ca-ES"/>
        </w:rPr>
        <w:t>Por otra parte, el seguimiento de la</w:t>
      </w:r>
      <w:r w:rsidR="00CF30D7" w:rsidRPr="00067A03">
        <w:rPr>
          <w:rFonts w:cs="Tahoma"/>
          <w:sz w:val="20"/>
          <w:szCs w:val="20"/>
          <w:lang w:val="es-ES" w:eastAsia="ca-ES"/>
        </w:rPr>
        <w:t xml:space="preserve"> </w:t>
      </w:r>
      <w:r w:rsidRPr="00067A03">
        <w:rPr>
          <w:rFonts w:cs="Tahoma"/>
          <w:sz w:val="20"/>
          <w:szCs w:val="20"/>
          <w:lang w:val="es-ES" w:eastAsia="ca-ES"/>
        </w:rPr>
        <w:t>seguridad de las vacunas ha puesto de</w:t>
      </w:r>
      <w:r w:rsidR="00CF30D7" w:rsidRPr="00067A03">
        <w:rPr>
          <w:rFonts w:cs="Tahoma"/>
          <w:sz w:val="20"/>
          <w:szCs w:val="20"/>
          <w:lang w:val="es-ES" w:eastAsia="ca-ES"/>
        </w:rPr>
        <w:t xml:space="preserve"> </w:t>
      </w:r>
      <w:r w:rsidR="00D72CEC" w:rsidRPr="00067A03">
        <w:rPr>
          <w:rFonts w:cs="Tahoma"/>
          <w:sz w:val="20"/>
          <w:szCs w:val="20"/>
          <w:lang w:val="es-ES" w:eastAsia="ca-ES"/>
        </w:rPr>
        <w:t>manifiesto las deficiencias de l</w:t>
      </w:r>
      <w:r w:rsidRPr="00067A03">
        <w:rPr>
          <w:rFonts w:cs="Tahoma"/>
          <w:sz w:val="20"/>
          <w:szCs w:val="20"/>
          <w:lang w:val="es-ES" w:eastAsia="ca-ES"/>
        </w:rPr>
        <w:t>a</w:t>
      </w:r>
      <w:r w:rsidR="00CF30D7" w:rsidRPr="00067A03">
        <w:rPr>
          <w:rFonts w:cs="Tahoma"/>
          <w:sz w:val="20"/>
          <w:szCs w:val="20"/>
          <w:lang w:val="es-ES" w:eastAsia="ca-ES"/>
        </w:rPr>
        <w:t xml:space="preserve"> </w:t>
      </w:r>
      <w:r w:rsidRPr="00067A03">
        <w:rPr>
          <w:rFonts w:cs="Tahoma"/>
          <w:sz w:val="20"/>
          <w:szCs w:val="20"/>
          <w:lang w:val="es-ES" w:eastAsia="ca-ES"/>
        </w:rPr>
        <w:t>farmacovigilancia en la Unión Europea. La</w:t>
      </w:r>
      <w:r w:rsidR="00CF30D7" w:rsidRPr="00067A03">
        <w:rPr>
          <w:rFonts w:cs="Tahoma"/>
          <w:sz w:val="20"/>
          <w:szCs w:val="20"/>
          <w:lang w:val="es-ES" w:eastAsia="ca-ES"/>
        </w:rPr>
        <w:t xml:space="preserve"> </w:t>
      </w:r>
      <w:r w:rsidR="00D72CEC" w:rsidRPr="00067A03">
        <w:rPr>
          <w:rFonts w:cs="Tahoma"/>
          <w:sz w:val="20"/>
          <w:szCs w:val="20"/>
          <w:lang w:val="es-ES" w:eastAsia="ca-ES"/>
        </w:rPr>
        <w:t>EMA</w:t>
      </w:r>
      <w:r w:rsidR="00CF30D7" w:rsidRPr="00067A03">
        <w:rPr>
          <w:rFonts w:cs="Tahoma"/>
          <w:sz w:val="20"/>
          <w:szCs w:val="20"/>
          <w:lang w:val="es-ES" w:eastAsia="ca-ES"/>
        </w:rPr>
        <w:t xml:space="preserve"> </w:t>
      </w:r>
      <w:r w:rsidRPr="00067A03">
        <w:rPr>
          <w:rFonts w:cs="Tahoma"/>
          <w:sz w:val="20"/>
          <w:szCs w:val="20"/>
          <w:lang w:val="es-ES" w:eastAsia="ca-ES"/>
        </w:rPr>
        <w:t>ha reaccionado tarde y de manera</w:t>
      </w:r>
      <w:r w:rsidR="00CF30D7" w:rsidRPr="00067A03">
        <w:rPr>
          <w:rFonts w:cs="Tahoma"/>
          <w:sz w:val="20"/>
          <w:szCs w:val="20"/>
          <w:lang w:val="es-ES" w:eastAsia="ca-ES"/>
        </w:rPr>
        <w:t xml:space="preserve"> </w:t>
      </w:r>
      <w:r w:rsidRPr="00067A03">
        <w:rPr>
          <w:rFonts w:cs="Tahoma"/>
          <w:sz w:val="20"/>
          <w:szCs w:val="20"/>
          <w:lang w:val="es-ES" w:eastAsia="ca-ES"/>
        </w:rPr>
        <w:t>paquidérmica e insuficiente ante las señales</w:t>
      </w:r>
      <w:r w:rsidR="00CF30D7" w:rsidRPr="00067A03">
        <w:rPr>
          <w:rFonts w:cs="Tahoma"/>
          <w:sz w:val="20"/>
          <w:szCs w:val="20"/>
          <w:lang w:val="es-ES" w:eastAsia="ca-ES"/>
        </w:rPr>
        <w:t xml:space="preserve"> </w:t>
      </w:r>
      <w:r w:rsidRPr="00067A03">
        <w:rPr>
          <w:rFonts w:cs="Tahoma"/>
          <w:sz w:val="20"/>
          <w:szCs w:val="20"/>
          <w:lang w:val="es-ES" w:eastAsia="ca-ES"/>
        </w:rPr>
        <w:t>de efectos indeseados que han ido surgiendo</w:t>
      </w:r>
      <w:r w:rsidR="00CF30D7" w:rsidRPr="00067A03">
        <w:rPr>
          <w:rFonts w:cs="Tahoma"/>
          <w:sz w:val="20"/>
          <w:szCs w:val="20"/>
          <w:lang w:val="es-ES" w:eastAsia="ca-ES"/>
        </w:rPr>
        <w:t xml:space="preserve"> </w:t>
      </w:r>
      <w:r w:rsidRPr="00067A03">
        <w:rPr>
          <w:rFonts w:cs="Tahoma"/>
          <w:sz w:val="20"/>
          <w:szCs w:val="20"/>
          <w:lang w:val="es-ES" w:eastAsia="ca-ES"/>
        </w:rPr>
        <w:t>y sus vacilac</w:t>
      </w:r>
      <w:r w:rsidR="00CF30D7" w:rsidRPr="00067A03">
        <w:rPr>
          <w:rFonts w:cs="Tahoma"/>
          <w:sz w:val="20"/>
          <w:szCs w:val="20"/>
          <w:lang w:val="es-ES" w:eastAsia="ca-ES"/>
        </w:rPr>
        <w:t xml:space="preserve">iones no han ayudado a las </w:t>
      </w:r>
      <w:r w:rsidRPr="00067A03">
        <w:rPr>
          <w:rFonts w:cs="Tahoma"/>
          <w:sz w:val="20"/>
          <w:szCs w:val="20"/>
          <w:lang w:val="es-ES" w:eastAsia="ca-ES"/>
        </w:rPr>
        <w:t>autoridades de los estados miembros a</w:t>
      </w:r>
      <w:r w:rsidR="00CF30D7" w:rsidRPr="00067A03">
        <w:rPr>
          <w:rFonts w:cs="Tahoma"/>
          <w:sz w:val="20"/>
          <w:szCs w:val="20"/>
          <w:lang w:val="es-ES" w:eastAsia="ca-ES"/>
        </w:rPr>
        <w:t xml:space="preserve"> </w:t>
      </w:r>
      <w:r w:rsidRPr="00067A03">
        <w:rPr>
          <w:rFonts w:cs="Tahoma"/>
          <w:sz w:val="20"/>
          <w:szCs w:val="20"/>
          <w:lang w:val="es-ES" w:eastAsia="ca-ES"/>
        </w:rPr>
        <w:t xml:space="preserve">orientar la </w:t>
      </w:r>
      <w:r w:rsidR="00CF30D7" w:rsidRPr="00067A03">
        <w:rPr>
          <w:rFonts w:cs="Tahoma"/>
          <w:sz w:val="20"/>
          <w:szCs w:val="20"/>
          <w:lang w:val="es-ES" w:eastAsia="ca-ES"/>
        </w:rPr>
        <w:t xml:space="preserve">campaña de vacunación según los </w:t>
      </w:r>
      <w:r w:rsidRPr="00067A03">
        <w:rPr>
          <w:rFonts w:cs="Tahoma"/>
          <w:sz w:val="20"/>
          <w:szCs w:val="20"/>
          <w:lang w:val="es-ES" w:eastAsia="ca-ES"/>
        </w:rPr>
        <w:t>resultados obtenidos. Ha</w:t>
      </w:r>
      <w:r w:rsidR="00D72CEC" w:rsidRPr="00067A03">
        <w:rPr>
          <w:rFonts w:cs="Tahoma"/>
          <w:sz w:val="20"/>
          <w:szCs w:val="20"/>
          <w:lang w:val="es-ES" w:eastAsia="ca-ES"/>
        </w:rPr>
        <w:t>n</w:t>
      </w:r>
      <w:r w:rsidRPr="00067A03">
        <w:rPr>
          <w:rFonts w:cs="Tahoma"/>
          <w:sz w:val="20"/>
          <w:szCs w:val="20"/>
          <w:lang w:val="es-ES" w:eastAsia="ca-ES"/>
        </w:rPr>
        <w:t xml:space="preserve"> prevalecido </w:t>
      </w:r>
      <w:r w:rsidR="00D72CEC" w:rsidRPr="00067A03">
        <w:rPr>
          <w:rFonts w:cs="Tahoma"/>
          <w:sz w:val="20"/>
          <w:szCs w:val="20"/>
          <w:lang w:val="es-ES" w:eastAsia="ca-ES"/>
        </w:rPr>
        <w:t xml:space="preserve">los procedimientos y </w:t>
      </w:r>
      <w:r w:rsidRPr="00067A03">
        <w:rPr>
          <w:rFonts w:cs="Tahoma"/>
          <w:sz w:val="20"/>
          <w:szCs w:val="20"/>
          <w:lang w:val="es-ES" w:eastAsia="ca-ES"/>
        </w:rPr>
        <w:t>la</w:t>
      </w:r>
      <w:r w:rsidR="00CF30D7" w:rsidRPr="00067A03">
        <w:rPr>
          <w:rFonts w:cs="Tahoma"/>
          <w:sz w:val="20"/>
          <w:szCs w:val="20"/>
          <w:lang w:val="es-ES" w:eastAsia="ca-ES"/>
        </w:rPr>
        <w:t xml:space="preserve"> </w:t>
      </w:r>
      <w:r w:rsidRPr="00067A03">
        <w:rPr>
          <w:rFonts w:cs="Tahoma"/>
          <w:sz w:val="20"/>
          <w:szCs w:val="20"/>
          <w:lang w:val="es-ES" w:eastAsia="ca-ES"/>
        </w:rPr>
        <w:t>buroc</w:t>
      </w:r>
      <w:r w:rsidR="001F2D6B" w:rsidRPr="00067A03">
        <w:rPr>
          <w:rFonts w:cs="Tahoma"/>
          <w:sz w:val="20"/>
          <w:szCs w:val="20"/>
          <w:lang w:val="es-ES" w:eastAsia="ca-ES"/>
        </w:rPr>
        <w:t>racia por encima de la ciencia,</w:t>
      </w:r>
      <w:r w:rsidRPr="00067A03">
        <w:rPr>
          <w:rFonts w:cs="Tahoma"/>
          <w:sz w:val="20"/>
          <w:szCs w:val="20"/>
          <w:lang w:val="es-ES" w:eastAsia="ca-ES"/>
        </w:rPr>
        <w:t xml:space="preserve"> el</w:t>
      </w:r>
      <w:r w:rsidR="00CF30D7" w:rsidRPr="00067A03">
        <w:rPr>
          <w:rFonts w:cs="Tahoma"/>
          <w:sz w:val="20"/>
          <w:szCs w:val="20"/>
          <w:lang w:val="es-ES" w:eastAsia="ca-ES"/>
        </w:rPr>
        <w:t xml:space="preserve"> </w:t>
      </w:r>
      <w:r w:rsidRPr="00067A03">
        <w:rPr>
          <w:rFonts w:cs="Tahoma"/>
          <w:sz w:val="20"/>
          <w:szCs w:val="20"/>
          <w:lang w:val="es-ES" w:eastAsia="ca-ES"/>
        </w:rPr>
        <w:t>sentido común</w:t>
      </w:r>
      <w:r w:rsidR="001F2D6B" w:rsidRPr="00067A03">
        <w:rPr>
          <w:rFonts w:cs="Tahoma"/>
          <w:sz w:val="20"/>
          <w:szCs w:val="20"/>
          <w:lang w:val="es-ES" w:eastAsia="ca-ES"/>
        </w:rPr>
        <w:t xml:space="preserve"> y la atención a las incertidumbres inherentes al experimento global emprendido</w:t>
      </w:r>
      <w:r w:rsidRPr="00067A03">
        <w:rPr>
          <w:rFonts w:cs="Tahoma"/>
          <w:sz w:val="20"/>
          <w:szCs w:val="20"/>
          <w:lang w:val="es-ES" w:eastAsia="ca-ES"/>
        </w:rPr>
        <w:t xml:space="preserve">. </w:t>
      </w:r>
    </w:p>
    <w:p w:rsidR="00986DB4" w:rsidRPr="00067A03" w:rsidRDefault="00986DB4" w:rsidP="00986DB4">
      <w:pPr>
        <w:pStyle w:val="Prrafodelista"/>
        <w:autoSpaceDE w:val="0"/>
        <w:autoSpaceDN w:val="0"/>
        <w:adjustRightInd w:val="0"/>
        <w:ind w:left="426"/>
        <w:rPr>
          <w:rFonts w:cs="Tahoma"/>
          <w:sz w:val="20"/>
          <w:szCs w:val="20"/>
          <w:lang w:val="es-ES" w:eastAsia="ca-ES"/>
        </w:rPr>
      </w:pPr>
    </w:p>
    <w:p w:rsidR="002852AB" w:rsidRPr="001160A8" w:rsidRDefault="004F3309" w:rsidP="001160A8">
      <w:pPr>
        <w:pStyle w:val="Prrafodelista"/>
        <w:numPr>
          <w:ilvl w:val="0"/>
          <w:numId w:val="6"/>
        </w:numPr>
        <w:autoSpaceDE w:val="0"/>
        <w:autoSpaceDN w:val="0"/>
        <w:adjustRightInd w:val="0"/>
        <w:ind w:left="426" w:hanging="426"/>
        <w:rPr>
          <w:rFonts w:cs="Tahoma"/>
          <w:sz w:val="20"/>
          <w:szCs w:val="20"/>
          <w:lang w:val="es-ES" w:eastAsia="ca-ES"/>
        </w:rPr>
      </w:pPr>
      <w:r w:rsidRPr="00067A03">
        <w:rPr>
          <w:rFonts w:cs="Tahoma"/>
          <w:sz w:val="20"/>
          <w:szCs w:val="20"/>
          <w:lang w:val="es-ES" w:eastAsia="ca-ES"/>
        </w:rPr>
        <w:t>No se trata (solamente) de un incidente</w:t>
      </w:r>
      <w:r w:rsidR="00CF30D7" w:rsidRPr="00067A03">
        <w:rPr>
          <w:rFonts w:cs="Tahoma"/>
          <w:sz w:val="20"/>
          <w:szCs w:val="20"/>
          <w:lang w:val="es-ES" w:eastAsia="ca-ES"/>
        </w:rPr>
        <w:t xml:space="preserve"> </w:t>
      </w:r>
      <w:r w:rsidRPr="00067A03">
        <w:rPr>
          <w:rFonts w:cs="Tahoma"/>
          <w:sz w:val="20"/>
          <w:szCs w:val="20"/>
          <w:lang w:val="es-ES" w:eastAsia="ca-ES"/>
        </w:rPr>
        <w:t>o de la ineptitud de algún funcionario. La</w:t>
      </w:r>
      <w:r w:rsidR="00CF30D7" w:rsidRPr="00067A03">
        <w:rPr>
          <w:rFonts w:cs="Tahoma"/>
          <w:sz w:val="20"/>
          <w:szCs w:val="20"/>
          <w:lang w:val="es-ES" w:eastAsia="ca-ES"/>
        </w:rPr>
        <w:t xml:space="preserve"> </w:t>
      </w:r>
      <w:r w:rsidRPr="00067A03">
        <w:rPr>
          <w:rFonts w:cs="Tahoma"/>
          <w:sz w:val="20"/>
          <w:szCs w:val="20"/>
          <w:lang w:val="es-ES" w:eastAsia="ca-ES"/>
        </w:rPr>
        <w:t>EMA</w:t>
      </w:r>
      <w:r w:rsidR="001F2D6B" w:rsidRPr="00067A03">
        <w:rPr>
          <w:rFonts w:cs="Tahoma"/>
          <w:sz w:val="20"/>
          <w:szCs w:val="20"/>
          <w:lang w:val="es-ES" w:eastAsia="ca-ES"/>
        </w:rPr>
        <w:t>, financiada en más de un 80% con las tasas aportadas por las compañías farmacéuticas,</w:t>
      </w:r>
      <w:r w:rsidRPr="00067A03">
        <w:rPr>
          <w:rFonts w:cs="Tahoma"/>
          <w:sz w:val="20"/>
          <w:szCs w:val="20"/>
          <w:lang w:val="es-ES" w:eastAsia="ca-ES"/>
        </w:rPr>
        <w:t xml:space="preserve"> está concebida para autorizar la</w:t>
      </w:r>
      <w:r w:rsidR="00CF30D7" w:rsidRPr="00067A03">
        <w:rPr>
          <w:rFonts w:cs="Tahoma"/>
          <w:sz w:val="20"/>
          <w:szCs w:val="20"/>
          <w:lang w:val="es-ES" w:eastAsia="ca-ES"/>
        </w:rPr>
        <w:t xml:space="preserve"> </w:t>
      </w:r>
      <w:r w:rsidRPr="00067A03">
        <w:rPr>
          <w:rFonts w:cs="Tahoma"/>
          <w:sz w:val="20"/>
          <w:szCs w:val="20"/>
          <w:lang w:val="es-ES" w:eastAsia="ca-ES"/>
        </w:rPr>
        <w:t>comercialización de medicamentos y</w:t>
      </w:r>
      <w:r w:rsidR="00CF30D7" w:rsidRPr="00067A03">
        <w:rPr>
          <w:rFonts w:cs="Tahoma"/>
          <w:sz w:val="20"/>
          <w:szCs w:val="20"/>
          <w:lang w:val="es-ES" w:eastAsia="ca-ES"/>
        </w:rPr>
        <w:t xml:space="preserve"> </w:t>
      </w:r>
      <w:r w:rsidRPr="00067A03">
        <w:rPr>
          <w:rFonts w:cs="Tahoma"/>
          <w:sz w:val="20"/>
          <w:szCs w:val="20"/>
          <w:lang w:val="es-ES" w:eastAsia="ca-ES"/>
        </w:rPr>
        <w:t>vacunas, pero no para interactuar con los</w:t>
      </w:r>
      <w:r w:rsidR="00CF30D7" w:rsidRPr="00067A03">
        <w:rPr>
          <w:rFonts w:cs="Tahoma"/>
          <w:sz w:val="20"/>
          <w:szCs w:val="20"/>
          <w:lang w:val="es-ES" w:eastAsia="ca-ES"/>
        </w:rPr>
        <w:t xml:space="preserve"> </w:t>
      </w:r>
      <w:r w:rsidRPr="00067A03">
        <w:rPr>
          <w:rFonts w:cs="Tahoma"/>
          <w:sz w:val="20"/>
          <w:szCs w:val="20"/>
          <w:lang w:val="es-ES" w:eastAsia="ca-ES"/>
        </w:rPr>
        <w:t>sistemas sanitarios de los estados miembros.</w:t>
      </w:r>
      <w:r w:rsidR="00986DB4" w:rsidRPr="00067A03">
        <w:rPr>
          <w:rFonts w:cs="Tahoma"/>
          <w:sz w:val="20"/>
          <w:szCs w:val="20"/>
          <w:lang w:val="es-ES" w:eastAsia="ca-ES"/>
        </w:rPr>
        <w:t xml:space="preserve"> </w:t>
      </w:r>
    </w:p>
    <w:p w:rsidR="00986DB4" w:rsidRPr="00067A03" w:rsidRDefault="00986DB4" w:rsidP="00986DB4">
      <w:pPr>
        <w:pStyle w:val="Prrafodelista"/>
        <w:rPr>
          <w:rFonts w:cs="Tahoma"/>
          <w:sz w:val="20"/>
          <w:szCs w:val="20"/>
          <w:lang w:val="es-ES" w:eastAsia="ca-ES"/>
        </w:rPr>
      </w:pPr>
    </w:p>
    <w:p w:rsidR="004F3309" w:rsidRPr="00067A03" w:rsidRDefault="00986DB4" w:rsidP="00EB657E">
      <w:pPr>
        <w:pStyle w:val="Prrafodelista"/>
        <w:numPr>
          <w:ilvl w:val="0"/>
          <w:numId w:val="6"/>
        </w:numPr>
        <w:autoSpaceDE w:val="0"/>
        <w:autoSpaceDN w:val="0"/>
        <w:adjustRightInd w:val="0"/>
        <w:ind w:left="426" w:hanging="426"/>
        <w:rPr>
          <w:rFonts w:cs="Tahoma"/>
          <w:sz w:val="20"/>
          <w:szCs w:val="20"/>
          <w:lang w:val="es-ES" w:eastAsia="ca-ES"/>
        </w:rPr>
      </w:pPr>
      <w:r w:rsidRPr="00067A03">
        <w:rPr>
          <w:rFonts w:cs="Tahoma"/>
          <w:sz w:val="20"/>
          <w:szCs w:val="20"/>
          <w:lang w:val="es-ES" w:eastAsia="ca-ES"/>
        </w:rPr>
        <w:t>La pandemia ha hecho evidente que la legislación europea sobre farmacovigilancia, basada en la notificación voluntaria y en planes de gestión de riesgos desarrollados por las propias compañías fabricantes, está más concebida para proteger a estas últimas que para proteger a los ciudadanos.</w:t>
      </w:r>
    </w:p>
    <w:p w:rsidR="00CF30D7" w:rsidRPr="00067A03" w:rsidRDefault="00CF30D7" w:rsidP="00EB657E">
      <w:pPr>
        <w:autoSpaceDE w:val="0"/>
        <w:autoSpaceDN w:val="0"/>
        <w:adjustRightInd w:val="0"/>
        <w:ind w:left="426" w:hanging="426"/>
        <w:rPr>
          <w:rFonts w:cs="Tahoma"/>
          <w:sz w:val="20"/>
          <w:szCs w:val="20"/>
          <w:lang w:val="es-ES" w:eastAsia="ca-ES"/>
        </w:rPr>
      </w:pPr>
    </w:p>
    <w:p w:rsidR="004F3309" w:rsidRDefault="00D72CEC" w:rsidP="00CF30D7">
      <w:pPr>
        <w:pStyle w:val="Prrafodelista"/>
        <w:numPr>
          <w:ilvl w:val="0"/>
          <w:numId w:val="6"/>
        </w:numPr>
        <w:autoSpaceDE w:val="0"/>
        <w:autoSpaceDN w:val="0"/>
        <w:adjustRightInd w:val="0"/>
        <w:ind w:left="426" w:hanging="426"/>
        <w:rPr>
          <w:rFonts w:cs="Tahoma"/>
          <w:sz w:val="20"/>
          <w:szCs w:val="20"/>
          <w:lang w:val="es-ES" w:eastAsia="ca-ES"/>
        </w:rPr>
      </w:pPr>
      <w:r w:rsidRPr="00067A03">
        <w:rPr>
          <w:rFonts w:cs="Tahoma"/>
          <w:sz w:val="20"/>
          <w:szCs w:val="20"/>
          <w:lang w:val="es-ES" w:eastAsia="ca-ES"/>
        </w:rPr>
        <w:t xml:space="preserve">En este contexto, </w:t>
      </w:r>
      <w:r w:rsidR="00943518" w:rsidRPr="00067A03">
        <w:rPr>
          <w:rFonts w:cs="Tahoma"/>
          <w:sz w:val="20"/>
          <w:szCs w:val="20"/>
          <w:lang w:val="es-ES" w:eastAsia="ca-ES"/>
        </w:rPr>
        <w:t>quisiera comentar tambi</w:t>
      </w:r>
      <w:r w:rsidR="00986DB4" w:rsidRPr="00067A03">
        <w:rPr>
          <w:rFonts w:cs="Tahoma"/>
          <w:sz w:val="20"/>
          <w:szCs w:val="20"/>
          <w:lang w:val="es-ES" w:eastAsia="ca-ES"/>
        </w:rPr>
        <w:t xml:space="preserve">én </w:t>
      </w:r>
      <w:r w:rsidRPr="00067A03">
        <w:rPr>
          <w:rFonts w:cs="Tahoma"/>
          <w:sz w:val="20"/>
          <w:szCs w:val="20"/>
          <w:lang w:val="es-ES" w:eastAsia="ca-ES"/>
        </w:rPr>
        <w:t xml:space="preserve">el escaso uso que se ha hecho de las bases de datos sanitarias en España, para hacer un seguimiento de la vacunación y de sus efectos </w:t>
      </w:r>
      <w:r w:rsidR="005F4594" w:rsidRPr="00067A03">
        <w:rPr>
          <w:rFonts w:cs="Tahoma"/>
          <w:sz w:val="20"/>
          <w:szCs w:val="20"/>
          <w:lang w:val="es-ES" w:eastAsia="ca-ES"/>
        </w:rPr>
        <w:t xml:space="preserve">beneficiosos e indeseados </w:t>
      </w:r>
      <w:r w:rsidRPr="00067A03">
        <w:rPr>
          <w:rFonts w:cs="Tahoma"/>
          <w:sz w:val="20"/>
          <w:szCs w:val="20"/>
          <w:lang w:val="es-ES" w:eastAsia="ca-ES"/>
        </w:rPr>
        <w:t xml:space="preserve">en el contexto de </w:t>
      </w:r>
      <w:r w:rsidR="005F4594" w:rsidRPr="00067A03">
        <w:rPr>
          <w:rFonts w:cs="Tahoma"/>
          <w:sz w:val="20"/>
          <w:szCs w:val="20"/>
          <w:lang w:val="es-ES" w:eastAsia="ca-ES"/>
        </w:rPr>
        <w:t>la e</w:t>
      </w:r>
      <w:r w:rsidR="00986DB4" w:rsidRPr="00067A03">
        <w:rPr>
          <w:rFonts w:cs="Tahoma"/>
          <w:sz w:val="20"/>
          <w:szCs w:val="20"/>
          <w:lang w:val="es-ES" w:eastAsia="ca-ES"/>
        </w:rPr>
        <w:t>pidemia. Probablemente n</w:t>
      </w:r>
      <w:r w:rsidR="005F4594" w:rsidRPr="00067A03">
        <w:rPr>
          <w:rFonts w:cs="Tahoma"/>
          <w:sz w:val="20"/>
          <w:szCs w:val="20"/>
          <w:lang w:val="es-ES" w:eastAsia="ca-ES"/>
        </w:rPr>
        <w:t xml:space="preserve">o </w:t>
      </w:r>
      <w:r w:rsidR="00986DB4" w:rsidRPr="00067A03">
        <w:rPr>
          <w:rFonts w:cs="Tahoma"/>
          <w:sz w:val="20"/>
          <w:szCs w:val="20"/>
          <w:lang w:val="es-ES" w:eastAsia="ca-ES"/>
        </w:rPr>
        <w:t>se trata</w:t>
      </w:r>
      <w:r w:rsidR="005F4594" w:rsidRPr="00067A03">
        <w:rPr>
          <w:rFonts w:cs="Tahoma"/>
          <w:sz w:val="20"/>
          <w:szCs w:val="20"/>
          <w:lang w:val="es-ES" w:eastAsia="ca-ES"/>
        </w:rPr>
        <w:t xml:space="preserve"> solo</w:t>
      </w:r>
      <w:r w:rsidR="00221086" w:rsidRPr="00067A03">
        <w:rPr>
          <w:rFonts w:cs="Tahoma"/>
          <w:sz w:val="20"/>
          <w:szCs w:val="20"/>
          <w:lang w:val="es-ES" w:eastAsia="ca-ES"/>
        </w:rPr>
        <w:t xml:space="preserve"> una oportunidad desaprovechada y perdida</w:t>
      </w:r>
      <w:r w:rsidRPr="00067A03">
        <w:rPr>
          <w:rFonts w:cs="Tahoma"/>
          <w:sz w:val="20"/>
          <w:szCs w:val="20"/>
          <w:lang w:val="es-ES" w:eastAsia="ca-ES"/>
        </w:rPr>
        <w:t xml:space="preserve">, sino más bien </w:t>
      </w:r>
      <w:r w:rsidR="00986DB4" w:rsidRPr="00067A03">
        <w:rPr>
          <w:rFonts w:cs="Tahoma"/>
          <w:sz w:val="20"/>
          <w:szCs w:val="20"/>
          <w:lang w:val="es-ES" w:eastAsia="ca-ES"/>
        </w:rPr>
        <w:t>d</w:t>
      </w:r>
      <w:r w:rsidRPr="00067A03">
        <w:rPr>
          <w:rFonts w:cs="Tahoma"/>
          <w:sz w:val="20"/>
          <w:szCs w:val="20"/>
          <w:lang w:val="es-ES" w:eastAsia="ca-ES"/>
        </w:rPr>
        <w:t xml:space="preserve">el reflejo de la falta de voluntad del sistema nacional de salud para ser un verdadero productor de conocimiento, y no un </w:t>
      </w:r>
      <w:r w:rsidR="00221086" w:rsidRPr="00067A03">
        <w:rPr>
          <w:rFonts w:cs="Tahoma"/>
          <w:sz w:val="20"/>
          <w:szCs w:val="20"/>
          <w:lang w:val="es-ES" w:eastAsia="ca-ES"/>
        </w:rPr>
        <w:t xml:space="preserve">mero </w:t>
      </w:r>
      <w:r w:rsidRPr="00067A03">
        <w:rPr>
          <w:rFonts w:cs="Tahoma"/>
          <w:sz w:val="20"/>
          <w:szCs w:val="20"/>
          <w:lang w:val="es-ES" w:eastAsia="ca-ES"/>
        </w:rPr>
        <w:t>receptor pasivo de mensajes de clara intencionalidad comercial</w:t>
      </w:r>
      <w:r w:rsidR="00221086" w:rsidRPr="00067A03">
        <w:rPr>
          <w:rFonts w:cs="Tahoma"/>
          <w:sz w:val="20"/>
          <w:szCs w:val="20"/>
          <w:lang w:val="es-ES" w:eastAsia="ca-ES"/>
        </w:rPr>
        <w:t>, un</w:t>
      </w:r>
      <w:r w:rsidR="007E507C" w:rsidRPr="00067A03">
        <w:rPr>
          <w:rFonts w:cs="Tahoma"/>
          <w:sz w:val="20"/>
          <w:szCs w:val="20"/>
          <w:lang w:val="es-ES" w:eastAsia="ca-ES"/>
        </w:rPr>
        <w:t xml:space="preserve"> comprador ignorante de tecnología, que a menudo paga humo a precio de oro</w:t>
      </w:r>
      <w:r w:rsidRPr="00067A03">
        <w:rPr>
          <w:rFonts w:cs="Tahoma"/>
          <w:sz w:val="20"/>
          <w:szCs w:val="20"/>
          <w:lang w:val="es-ES" w:eastAsia="ca-ES"/>
        </w:rPr>
        <w:t>.</w:t>
      </w:r>
      <w:r w:rsidR="00986DB4" w:rsidRPr="00067A03">
        <w:rPr>
          <w:rFonts w:cs="Tahoma"/>
          <w:sz w:val="20"/>
          <w:szCs w:val="20"/>
          <w:lang w:val="es-ES" w:eastAsia="ca-ES"/>
        </w:rPr>
        <w:t xml:space="preserve"> La pandemia t</w:t>
      </w:r>
      <w:r w:rsidRPr="00067A03">
        <w:rPr>
          <w:rFonts w:cs="Tahoma"/>
          <w:sz w:val="20"/>
          <w:szCs w:val="20"/>
          <w:lang w:val="es-ES" w:eastAsia="ca-ES"/>
        </w:rPr>
        <w:t xml:space="preserve">ambién ha puesto en evidencia la existencia de un enorme mercado de explotación de bases de datos sanitarias para estudios epidemiológicos, canalizado </w:t>
      </w:r>
      <w:r w:rsidR="007E507C" w:rsidRPr="00067A03">
        <w:rPr>
          <w:rFonts w:cs="Tahoma"/>
          <w:sz w:val="20"/>
          <w:szCs w:val="20"/>
          <w:lang w:val="es-ES" w:eastAsia="ca-ES"/>
        </w:rPr>
        <w:t xml:space="preserve">por la </w:t>
      </w:r>
      <w:r w:rsidR="007E507C" w:rsidRPr="00067A03">
        <w:rPr>
          <w:rFonts w:cs="Tahoma"/>
          <w:sz w:val="20"/>
          <w:szCs w:val="20"/>
          <w:lang w:val="es-ES" w:eastAsia="ca-ES"/>
        </w:rPr>
        <w:lastRenderedPageBreak/>
        <w:t xml:space="preserve">EMA </w:t>
      </w:r>
      <w:r w:rsidRPr="00067A03">
        <w:rPr>
          <w:rFonts w:cs="Tahoma"/>
          <w:sz w:val="20"/>
          <w:szCs w:val="20"/>
          <w:lang w:val="es-ES" w:eastAsia="ca-ES"/>
        </w:rPr>
        <w:t>de manera no democrática, incluso colonialista, en connivencia con centros universitarios “adictos”.</w:t>
      </w:r>
      <w:r w:rsidR="00EB657E" w:rsidRPr="00067A03">
        <w:rPr>
          <w:rFonts w:cs="Tahoma"/>
          <w:sz w:val="20"/>
          <w:szCs w:val="20"/>
          <w:lang w:val="es-ES" w:eastAsia="ca-ES"/>
        </w:rPr>
        <w:t xml:space="preserve"> </w:t>
      </w:r>
    </w:p>
    <w:p w:rsidR="001160A8" w:rsidRPr="001160A8" w:rsidRDefault="001160A8" w:rsidP="001160A8">
      <w:pPr>
        <w:pStyle w:val="Prrafodelista"/>
        <w:rPr>
          <w:rFonts w:cs="Tahoma"/>
          <w:sz w:val="20"/>
          <w:szCs w:val="20"/>
          <w:lang w:val="es-ES" w:eastAsia="ca-ES"/>
        </w:rPr>
      </w:pPr>
    </w:p>
    <w:p w:rsidR="001160A8" w:rsidRDefault="001160A8" w:rsidP="001160A8">
      <w:pPr>
        <w:pStyle w:val="Prrafodelista"/>
        <w:autoSpaceDE w:val="0"/>
        <w:autoSpaceDN w:val="0"/>
        <w:adjustRightInd w:val="0"/>
        <w:ind w:left="426"/>
        <w:rPr>
          <w:rFonts w:cs="Tahoma"/>
          <w:sz w:val="20"/>
          <w:szCs w:val="20"/>
          <w:lang w:val="es-ES" w:eastAsia="ca-ES"/>
        </w:rPr>
      </w:pPr>
    </w:p>
    <w:p w:rsidR="00254AD7" w:rsidRPr="00067A03" w:rsidRDefault="00254AD7" w:rsidP="006A7DBD">
      <w:pPr>
        <w:rPr>
          <w:rFonts w:cs="Tahoma"/>
          <w:sz w:val="20"/>
          <w:szCs w:val="20"/>
          <w:lang w:val="es-ES"/>
        </w:rPr>
      </w:pPr>
    </w:p>
    <w:p w:rsidR="006A7DBD" w:rsidRPr="00067A03" w:rsidRDefault="007E507C" w:rsidP="006A7DBD">
      <w:pPr>
        <w:rPr>
          <w:rFonts w:cs="Tahoma"/>
          <w:b/>
          <w:sz w:val="20"/>
          <w:szCs w:val="20"/>
          <w:lang w:val="es-ES"/>
        </w:rPr>
      </w:pPr>
      <w:r w:rsidRPr="00067A03">
        <w:rPr>
          <w:rFonts w:cs="Tahoma"/>
          <w:b/>
          <w:sz w:val="20"/>
          <w:szCs w:val="20"/>
          <w:lang w:val="es-ES"/>
        </w:rPr>
        <w:t xml:space="preserve">Segundo. </w:t>
      </w:r>
      <w:r w:rsidR="006A7DBD" w:rsidRPr="00067A03">
        <w:rPr>
          <w:rFonts w:cs="Tahoma"/>
          <w:b/>
          <w:sz w:val="20"/>
          <w:szCs w:val="20"/>
          <w:lang w:val="es-ES"/>
        </w:rPr>
        <w:t>Campaña de vacunación</w:t>
      </w:r>
    </w:p>
    <w:p w:rsidR="00254AD7" w:rsidRPr="00067A03" w:rsidRDefault="00254AD7" w:rsidP="006A7DBD">
      <w:pPr>
        <w:rPr>
          <w:rFonts w:cs="Tahoma"/>
          <w:sz w:val="20"/>
          <w:szCs w:val="20"/>
          <w:lang w:val="es-ES"/>
        </w:rPr>
      </w:pPr>
    </w:p>
    <w:p w:rsidR="007E507C" w:rsidRPr="00067A03" w:rsidRDefault="008B4279" w:rsidP="006A7DBD">
      <w:pPr>
        <w:rPr>
          <w:rFonts w:cs="Tahoma"/>
          <w:sz w:val="20"/>
          <w:szCs w:val="20"/>
          <w:lang w:val="es-ES"/>
        </w:rPr>
      </w:pPr>
      <w:r w:rsidRPr="00067A03">
        <w:rPr>
          <w:rFonts w:cs="Tahoma"/>
          <w:b/>
          <w:sz w:val="20"/>
          <w:szCs w:val="20"/>
          <w:lang w:val="es-ES"/>
        </w:rPr>
        <w:t>Residencias.</w:t>
      </w:r>
      <w:r w:rsidRPr="00067A03">
        <w:rPr>
          <w:rFonts w:cs="Tahoma"/>
          <w:sz w:val="20"/>
          <w:szCs w:val="20"/>
          <w:lang w:val="es-ES"/>
        </w:rPr>
        <w:t xml:space="preserve"> </w:t>
      </w:r>
      <w:r w:rsidR="007E507C" w:rsidRPr="00067A03">
        <w:rPr>
          <w:rFonts w:cs="Tahoma"/>
          <w:sz w:val="20"/>
          <w:szCs w:val="20"/>
          <w:lang w:val="es-ES"/>
        </w:rPr>
        <w:t>La epidemia incidió especialmente en residencias de personas mayores, sobre todo al principio.</w:t>
      </w:r>
      <w:r w:rsidR="00067A03" w:rsidRPr="00067A03">
        <w:rPr>
          <w:rFonts w:cs="Tahoma"/>
          <w:sz w:val="20"/>
          <w:szCs w:val="20"/>
          <w:lang w:val="es-ES"/>
        </w:rPr>
        <w:t xml:space="preserve"> La m</w:t>
      </w:r>
      <w:r w:rsidR="007E507C" w:rsidRPr="00067A03">
        <w:rPr>
          <w:rFonts w:cs="Tahoma"/>
          <w:sz w:val="20"/>
          <w:szCs w:val="20"/>
          <w:lang w:val="es-ES"/>
        </w:rPr>
        <w:t>ortalidad</w:t>
      </w:r>
      <w:r w:rsidR="00067A03" w:rsidRPr="00067A03">
        <w:rPr>
          <w:rFonts w:cs="Tahoma"/>
          <w:sz w:val="20"/>
          <w:szCs w:val="20"/>
          <w:lang w:val="es-ES"/>
        </w:rPr>
        <w:t xml:space="preserve"> fue</w:t>
      </w:r>
      <w:r w:rsidR="007E507C" w:rsidRPr="00067A03">
        <w:rPr>
          <w:rFonts w:cs="Tahoma"/>
          <w:sz w:val="20"/>
          <w:szCs w:val="20"/>
          <w:lang w:val="es-ES"/>
        </w:rPr>
        <w:t xml:space="preserve"> 57 veces más alta</w:t>
      </w:r>
      <w:r w:rsidR="00067A03" w:rsidRPr="00067A03">
        <w:rPr>
          <w:rFonts w:cs="Tahoma"/>
          <w:sz w:val="20"/>
          <w:szCs w:val="20"/>
          <w:lang w:val="es-ES"/>
        </w:rPr>
        <w:t xml:space="preserve"> en las residencias</w:t>
      </w:r>
      <w:r w:rsidR="007E507C" w:rsidRPr="00067A03">
        <w:rPr>
          <w:rFonts w:cs="Tahoma"/>
          <w:sz w:val="20"/>
          <w:szCs w:val="20"/>
          <w:lang w:val="es-ES"/>
        </w:rPr>
        <w:t>. Presumimos de sistema sanitario, pero dejamos a los más vulnerables en manos de la iniciativa privada. ¿Cuále</w:t>
      </w:r>
      <w:r w:rsidRPr="00067A03">
        <w:rPr>
          <w:rFonts w:cs="Tahoma"/>
          <w:sz w:val="20"/>
          <w:szCs w:val="20"/>
          <w:lang w:val="es-ES"/>
        </w:rPr>
        <w:t xml:space="preserve">s </w:t>
      </w:r>
      <w:r w:rsidR="007E507C" w:rsidRPr="00067A03">
        <w:rPr>
          <w:rFonts w:cs="Tahoma"/>
          <w:sz w:val="20"/>
          <w:szCs w:val="20"/>
          <w:lang w:val="es-ES"/>
        </w:rPr>
        <w:t xml:space="preserve">son los </w:t>
      </w:r>
      <w:r w:rsidRPr="00067A03">
        <w:rPr>
          <w:rFonts w:cs="Tahoma"/>
          <w:sz w:val="20"/>
          <w:szCs w:val="20"/>
          <w:lang w:val="es-ES"/>
        </w:rPr>
        <w:t>factores de ries</w:t>
      </w:r>
      <w:r w:rsidR="00067A03" w:rsidRPr="00067A03">
        <w:rPr>
          <w:rFonts w:cs="Tahoma"/>
          <w:sz w:val="20"/>
          <w:szCs w:val="20"/>
          <w:lang w:val="es-ES"/>
        </w:rPr>
        <w:t>go de morir en una residencia? Sin duda la e</w:t>
      </w:r>
      <w:r w:rsidRPr="00067A03">
        <w:rPr>
          <w:rFonts w:cs="Tahoma"/>
          <w:sz w:val="20"/>
          <w:szCs w:val="20"/>
          <w:lang w:val="es-ES"/>
        </w:rPr>
        <w:t>dad</w:t>
      </w:r>
      <w:r w:rsidR="00067A03" w:rsidRPr="00067A03">
        <w:rPr>
          <w:rFonts w:cs="Tahoma"/>
          <w:sz w:val="20"/>
          <w:szCs w:val="20"/>
          <w:lang w:val="es-ES"/>
        </w:rPr>
        <w:t xml:space="preserve"> y la pluripatología, pero también la mala atención y la</w:t>
      </w:r>
      <w:r w:rsidRPr="00067A03">
        <w:rPr>
          <w:rFonts w:cs="Tahoma"/>
          <w:sz w:val="20"/>
          <w:szCs w:val="20"/>
          <w:lang w:val="es-ES"/>
        </w:rPr>
        <w:t xml:space="preserve"> polimedicación innecesaria. </w:t>
      </w:r>
    </w:p>
    <w:p w:rsidR="007E507C" w:rsidRPr="00067A03" w:rsidRDefault="007E507C" w:rsidP="006A7DBD">
      <w:pPr>
        <w:rPr>
          <w:rFonts w:cs="Tahoma"/>
          <w:sz w:val="20"/>
          <w:szCs w:val="20"/>
          <w:lang w:val="es-ES"/>
        </w:rPr>
      </w:pPr>
    </w:p>
    <w:p w:rsidR="00067A03" w:rsidRPr="00067A03" w:rsidRDefault="00067A03" w:rsidP="00067A03">
      <w:pPr>
        <w:autoSpaceDE w:val="0"/>
        <w:autoSpaceDN w:val="0"/>
        <w:adjustRightInd w:val="0"/>
        <w:rPr>
          <w:rFonts w:cs="Tahoma"/>
          <w:color w:val="000000"/>
          <w:sz w:val="20"/>
          <w:szCs w:val="20"/>
          <w:lang w:val="es-ES" w:eastAsia="ca-ES"/>
        </w:rPr>
      </w:pPr>
      <w:r w:rsidRPr="00067A03">
        <w:rPr>
          <w:rFonts w:cs="Tahoma"/>
          <w:sz w:val="20"/>
          <w:szCs w:val="20"/>
          <w:lang w:val="es-ES" w:eastAsia="ca-ES"/>
        </w:rPr>
        <w:t xml:space="preserve">Una amplia variedad de fármacos, que ya eran de consumo generalizado antes de la epidemia, incrementan el riesgo de </w:t>
      </w:r>
      <w:r w:rsidRPr="00067A03">
        <w:rPr>
          <w:rFonts w:cs="Tahoma"/>
          <w:color w:val="000000"/>
          <w:sz w:val="20"/>
          <w:szCs w:val="20"/>
          <w:lang w:val="es-ES" w:eastAsia="ca-ES"/>
        </w:rPr>
        <w:t>neumonía y la mortalidad por neumonía, de</w:t>
      </w:r>
      <w:r w:rsidRPr="00067A03">
        <w:rPr>
          <w:rFonts w:cs="Tahoma"/>
          <w:sz w:val="20"/>
          <w:szCs w:val="20"/>
          <w:lang w:val="es-ES" w:eastAsia="ca-ES"/>
        </w:rPr>
        <w:t xml:space="preserve"> </w:t>
      </w:r>
      <w:r w:rsidRPr="00067A03">
        <w:rPr>
          <w:rFonts w:cs="Tahoma"/>
          <w:color w:val="000000"/>
          <w:sz w:val="20"/>
          <w:szCs w:val="20"/>
          <w:lang w:val="es-ES" w:eastAsia="ca-ES"/>
        </w:rPr>
        <w:t>modo que al comienzo de la epidemia era de esperar que también</w:t>
      </w:r>
      <w:r w:rsidRPr="00067A03">
        <w:rPr>
          <w:rFonts w:cs="Tahoma"/>
          <w:sz w:val="20"/>
          <w:szCs w:val="20"/>
          <w:lang w:val="es-ES" w:eastAsia="ca-ES"/>
        </w:rPr>
        <w:t xml:space="preserve"> </w:t>
      </w:r>
      <w:r w:rsidRPr="00067A03">
        <w:rPr>
          <w:rFonts w:cs="Tahoma"/>
          <w:color w:val="000000"/>
          <w:sz w:val="20"/>
          <w:szCs w:val="20"/>
          <w:lang w:val="es-ES" w:eastAsia="ca-ES"/>
        </w:rPr>
        <w:t>incrementaran la mortalidad por Covid-19.</w:t>
      </w:r>
    </w:p>
    <w:p w:rsidR="00067A03" w:rsidRPr="00067A03" w:rsidRDefault="00067A03" w:rsidP="00067A03">
      <w:pPr>
        <w:autoSpaceDE w:val="0"/>
        <w:autoSpaceDN w:val="0"/>
        <w:adjustRightInd w:val="0"/>
        <w:rPr>
          <w:rFonts w:cs="Tahoma"/>
          <w:sz w:val="20"/>
          <w:szCs w:val="20"/>
          <w:lang w:val="es-ES" w:eastAsia="ca-ES"/>
        </w:rPr>
      </w:pPr>
    </w:p>
    <w:p w:rsidR="00067A03" w:rsidRPr="00067A03" w:rsidRDefault="00067A03" w:rsidP="00067A03">
      <w:pPr>
        <w:autoSpaceDE w:val="0"/>
        <w:autoSpaceDN w:val="0"/>
        <w:adjustRightInd w:val="0"/>
        <w:rPr>
          <w:rFonts w:cs="Tahoma"/>
          <w:color w:val="000000"/>
          <w:sz w:val="20"/>
          <w:szCs w:val="20"/>
          <w:lang w:val="es-ES" w:eastAsia="ca-ES"/>
        </w:rPr>
      </w:pPr>
      <w:r w:rsidRPr="00067A03">
        <w:rPr>
          <w:rFonts w:cs="Tahoma"/>
          <w:color w:val="000000"/>
          <w:sz w:val="20"/>
          <w:szCs w:val="20"/>
          <w:lang w:val="es-ES" w:eastAsia="ca-ES"/>
        </w:rPr>
        <w:t xml:space="preserve">Por ejemplo, hace años que se sabe que los fármacos neurolépticos (antipsicóticos) duplican o incluso cuadruplican el riesgo de neumonía. En Cataluña unas 100.000 personas mayores de 70 años los consumen de manera continuada, en la mayoría de los casos en indicaciones no autorizadas. Al inicio de la pandemia consumían neurolépticos 22.000 de las 64.000 personas que vivían en residencias. </w:t>
      </w:r>
    </w:p>
    <w:p w:rsidR="00067A03" w:rsidRPr="00067A03" w:rsidRDefault="00067A03" w:rsidP="00067A03">
      <w:pPr>
        <w:autoSpaceDE w:val="0"/>
        <w:autoSpaceDN w:val="0"/>
        <w:adjustRightInd w:val="0"/>
        <w:rPr>
          <w:rFonts w:cs="Tahoma"/>
          <w:color w:val="000000"/>
          <w:sz w:val="20"/>
          <w:szCs w:val="20"/>
          <w:lang w:val="es-ES" w:eastAsia="ca-ES"/>
        </w:rPr>
      </w:pPr>
    </w:p>
    <w:p w:rsidR="00067A03" w:rsidRPr="00067A03" w:rsidRDefault="00067A03" w:rsidP="00067A03">
      <w:pPr>
        <w:autoSpaceDE w:val="0"/>
        <w:autoSpaceDN w:val="0"/>
        <w:adjustRightInd w:val="0"/>
        <w:rPr>
          <w:rFonts w:cs="Tahoma"/>
          <w:color w:val="000000"/>
          <w:sz w:val="20"/>
          <w:szCs w:val="20"/>
          <w:lang w:val="es-ES" w:eastAsia="ca-ES"/>
        </w:rPr>
      </w:pPr>
      <w:r w:rsidRPr="00067A03">
        <w:rPr>
          <w:rFonts w:cs="Tahoma"/>
          <w:color w:val="000000"/>
          <w:sz w:val="20"/>
          <w:szCs w:val="20"/>
          <w:lang w:val="es-ES" w:eastAsia="ca-ES"/>
        </w:rPr>
        <w:t>Muchos otros fármacos que tienen efecto depresor del sistema nervioso central también incrementan sensiblemente el riesgo de neumonía: analgésicos opioides como tramadol o fentanilo, hipnóticos, sedantes (también llamados ansiolíticos como loracepam</w:t>
      </w:r>
      <w:r w:rsidR="002852AB">
        <w:rPr>
          <w:rFonts w:cs="Tahoma"/>
          <w:color w:val="000000"/>
          <w:sz w:val="20"/>
          <w:szCs w:val="20"/>
          <w:lang w:val="es-ES" w:eastAsia="ca-ES"/>
        </w:rPr>
        <w:t>, Orfida</w:t>
      </w:r>
      <w:r w:rsidRPr="00067A03">
        <w:rPr>
          <w:rFonts w:cs="Tahoma"/>
          <w:color w:val="000000"/>
          <w:sz w:val="20"/>
          <w:szCs w:val="20"/>
          <w:lang w:val="es-ES" w:eastAsia="ca-ES"/>
        </w:rPr>
        <w:t>), antidepresivos</w:t>
      </w:r>
      <w:r w:rsidR="002852AB">
        <w:rPr>
          <w:rFonts w:cs="Tahoma"/>
          <w:color w:val="000000"/>
          <w:sz w:val="20"/>
          <w:szCs w:val="20"/>
          <w:lang w:val="es-ES" w:eastAsia="ca-ES"/>
        </w:rPr>
        <w:t xml:space="preserve"> como el Prozac</w:t>
      </w:r>
      <w:r w:rsidRPr="00067A03">
        <w:rPr>
          <w:rFonts w:cs="Tahoma"/>
          <w:color w:val="000000"/>
          <w:sz w:val="20"/>
          <w:szCs w:val="20"/>
          <w:lang w:val="es-ES" w:eastAsia="ca-ES"/>
        </w:rPr>
        <w:t>, fármacos con efecto anticolinérgico, gabapentina y pregabalina</w:t>
      </w:r>
      <w:r w:rsidR="002852AB">
        <w:rPr>
          <w:rFonts w:cs="Tahoma"/>
          <w:color w:val="000000"/>
          <w:sz w:val="20"/>
          <w:szCs w:val="20"/>
          <w:lang w:val="es-ES" w:eastAsia="ca-ES"/>
        </w:rPr>
        <w:t xml:space="preserve"> (Lyrica)</w:t>
      </w:r>
      <w:r w:rsidRPr="00067A03">
        <w:rPr>
          <w:rFonts w:cs="Tahoma"/>
          <w:color w:val="000000"/>
          <w:sz w:val="20"/>
          <w:szCs w:val="20"/>
          <w:lang w:val="es-ES" w:eastAsia="ca-ES"/>
        </w:rPr>
        <w:t xml:space="preserve">. Los inhibidores de la bomba de protones (omeprazol y similares) también incrementan sensiblemente el riesgo de neumonía. </w:t>
      </w:r>
    </w:p>
    <w:p w:rsidR="00067A03" w:rsidRPr="00067A03" w:rsidRDefault="00067A03" w:rsidP="00067A03">
      <w:pPr>
        <w:autoSpaceDE w:val="0"/>
        <w:autoSpaceDN w:val="0"/>
        <w:adjustRightInd w:val="0"/>
        <w:rPr>
          <w:rFonts w:cs="Tahoma"/>
          <w:color w:val="000000"/>
          <w:sz w:val="20"/>
          <w:szCs w:val="20"/>
          <w:lang w:val="es-ES" w:eastAsia="ca-ES"/>
        </w:rPr>
      </w:pPr>
    </w:p>
    <w:p w:rsidR="00067A03" w:rsidRPr="00067A03" w:rsidRDefault="00067A03" w:rsidP="00067A03">
      <w:pPr>
        <w:autoSpaceDE w:val="0"/>
        <w:autoSpaceDN w:val="0"/>
        <w:adjustRightInd w:val="0"/>
        <w:rPr>
          <w:rFonts w:cs="Tahoma"/>
          <w:color w:val="000000"/>
          <w:sz w:val="20"/>
          <w:szCs w:val="20"/>
          <w:lang w:val="es-ES" w:eastAsia="ca-ES"/>
        </w:rPr>
      </w:pPr>
      <w:r w:rsidRPr="00067A03">
        <w:rPr>
          <w:rFonts w:cs="Tahoma"/>
          <w:color w:val="000000"/>
          <w:sz w:val="20"/>
          <w:szCs w:val="20"/>
          <w:lang w:val="es-ES" w:eastAsia="ca-ES"/>
        </w:rPr>
        <w:t>Un 75 por ciento de los mayores de 70 años consume como mínimo uno de estos fármacos.</w:t>
      </w:r>
      <w:r w:rsidR="002852AB">
        <w:rPr>
          <w:rFonts w:cs="Tahoma"/>
          <w:color w:val="000000"/>
          <w:sz w:val="20"/>
          <w:szCs w:val="20"/>
          <w:lang w:val="es-ES" w:eastAsia="ca-ES"/>
        </w:rPr>
        <w:t xml:space="preserve"> </w:t>
      </w:r>
    </w:p>
    <w:p w:rsidR="00067A03" w:rsidRPr="00067A03" w:rsidRDefault="00067A03" w:rsidP="00067A03">
      <w:pPr>
        <w:autoSpaceDE w:val="0"/>
        <w:autoSpaceDN w:val="0"/>
        <w:adjustRightInd w:val="0"/>
        <w:rPr>
          <w:rFonts w:cs="Tahoma"/>
          <w:color w:val="000000"/>
          <w:sz w:val="20"/>
          <w:szCs w:val="20"/>
          <w:lang w:val="es-ES" w:eastAsia="ca-ES"/>
        </w:rPr>
      </w:pPr>
    </w:p>
    <w:p w:rsidR="007E507C" w:rsidRPr="00067A03" w:rsidRDefault="00922700" w:rsidP="006A7DBD">
      <w:pPr>
        <w:rPr>
          <w:rFonts w:cs="Tahoma"/>
          <w:sz w:val="20"/>
          <w:szCs w:val="20"/>
          <w:lang w:val="es-ES"/>
        </w:rPr>
      </w:pPr>
      <w:r w:rsidRPr="00067A03">
        <w:rPr>
          <w:rFonts w:cs="Tahoma"/>
          <w:sz w:val="20"/>
          <w:szCs w:val="20"/>
          <w:lang w:val="es-ES"/>
        </w:rPr>
        <w:t>El 8 de</w:t>
      </w:r>
      <w:r w:rsidR="008B4279" w:rsidRPr="00067A03">
        <w:rPr>
          <w:rFonts w:cs="Tahoma"/>
          <w:sz w:val="20"/>
          <w:szCs w:val="20"/>
          <w:lang w:val="es-ES"/>
        </w:rPr>
        <w:t xml:space="preserve"> </w:t>
      </w:r>
      <w:r w:rsidRPr="00067A03">
        <w:rPr>
          <w:rFonts w:cs="Tahoma"/>
          <w:sz w:val="20"/>
          <w:szCs w:val="20"/>
          <w:lang w:val="es-ES"/>
        </w:rPr>
        <w:t>abril</w:t>
      </w:r>
      <w:r w:rsidR="008B4279" w:rsidRPr="00067A03">
        <w:rPr>
          <w:rFonts w:cs="Tahoma"/>
          <w:sz w:val="20"/>
          <w:szCs w:val="20"/>
          <w:lang w:val="es-ES"/>
        </w:rPr>
        <w:t xml:space="preserve"> de 2020 </w:t>
      </w:r>
      <w:r w:rsidR="00067A03" w:rsidRPr="00067A03">
        <w:rPr>
          <w:rFonts w:cs="Tahoma"/>
          <w:sz w:val="20"/>
          <w:szCs w:val="20"/>
          <w:lang w:val="es-ES"/>
        </w:rPr>
        <w:t xml:space="preserve">envié un </w:t>
      </w:r>
      <w:r w:rsidR="008B4279" w:rsidRPr="00067A03">
        <w:rPr>
          <w:rFonts w:cs="Tahoma"/>
          <w:sz w:val="20"/>
          <w:szCs w:val="20"/>
          <w:lang w:val="es-ES"/>
        </w:rPr>
        <w:t xml:space="preserve">informe </w:t>
      </w:r>
      <w:r w:rsidR="00067A03" w:rsidRPr="00067A03">
        <w:rPr>
          <w:rFonts w:cs="Tahoma"/>
          <w:sz w:val="20"/>
          <w:szCs w:val="20"/>
          <w:lang w:val="es-ES"/>
        </w:rPr>
        <w:t xml:space="preserve">sobre esta cuestión </w:t>
      </w:r>
      <w:r w:rsidRPr="00067A03">
        <w:rPr>
          <w:rFonts w:cs="Tahoma"/>
          <w:sz w:val="20"/>
          <w:szCs w:val="20"/>
          <w:lang w:val="es-ES"/>
        </w:rPr>
        <w:t>a</w:t>
      </w:r>
      <w:r w:rsidR="00067A03" w:rsidRPr="00067A03">
        <w:rPr>
          <w:rFonts w:cs="Tahoma"/>
          <w:sz w:val="20"/>
          <w:szCs w:val="20"/>
          <w:lang w:val="es-ES"/>
        </w:rPr>
        <w:t xml:space="preserve"> la</w:t>
      </w:r>
      <w:r w:rsidRPr="00067A03">
        <w:rPr>
          <w:rFonts w:cs="Tahoma"/>
          <w:sz w:val="20"/>
          <w:szCs w:val="20"/>
          <w:lang w:val="es-ES"/>
        </w:rPr>
        <w:t xml:space="preserve"> </w:t>
      </w:r>
      <w:r w:rsidR="008B4279" w:rsidRPr="00067A03">
        <w:rPr>
          <w:rFonts w:cs="Tahoma"/>
          <w:sz w:val="20"/>
          <w:szCs w:val="20"/>
          <w:lang w:val="es-ES"/>
        </w:rPr>
        <w:t>AEMPS</w:t>
      </w:r>
      <w:r w:rsidR="00067A03" w:rsidRPr="00067A03">
        <w:rPr>
          <w:rFonts w:cs="Tahoma"/>
          <w:sz w:val="20"/>
          <w:szCs w:val="20"/>
          <w:lang w:val="es-ES"/>
        </w:rPr>
        <w:t xml:space="preserve">. La respuesta fue más o menos “Gracias, pero </w:t>
      </w:r>
      <w:r w:rsidR="002852AB">
        <w:rPr>
          <w:rFonts w:cs="Tahoma"/>
          <w:sz w:val="20"/>
          <w:szCs w:val="20"/>
          <w:lang w:val="es-ES"/>
        </w:rPr>
        <w:t>¿</w:t>
      </w:r>
      <w:r w:rsidR="00067A03" w:rsidRPr="00067A03">
        <w:rPr>
          <w:rFonts w:cs="Tahoma"/>
          <w:sz w:val="20"/>
          <w:szCs w:val="20"/>
          <w:lang w:val="es-ES"/>
        </w:rPr>
        <w:t>qué podemos hacer?</w:t>
      </w:r>
      <w:r w:rsidR="002852AB">
        <w:rPr>
          <w:rFonts w:cs="Tahoma"/>
          <w:sz w:val="20"/>
          <w:szCs w:val="20"/>
          <w:lang w:val="es-ES"/>
        </w:rPr>
        <w:t>”</w:t>
      </w:r>
      <w:r w:rsidR="00067A03" w:rsidRPr="00067A03">
        <w:rPr>
          <w:rFonts w:cs="Tahoma"/>
          <w:sz w:val="20"/>
          <w:szCs w:val="20"/>
          <w:lang w:val="es-ES"/>
        </w:rPr>
        <w:t xml:space="preserve"> La misma Agencia que tiene la función legal de delimitar las indicaciones de cada medicamento comercializado no es capaz de hacer cumplir sus reglas. Repito lo dicho anteriormente  cuando hablaba de FV: procedimientos, muchos procedimientos, pero sin atención a los resultados y en desconexión del sistema sanitario.</w:t>
      </w:r>
      <w:r w:rsidR="008B4279" w:rsidRPr="00067A03">
        <w:rPr>
          <w:rFonts w:cs="Tahoma"/>
          <w:sz w:val="20"/>
          <w:szCs w:val="20"/>
          <w:lang w:val="es-ES"/>
        </w:rPr>
        <w:t xml:space="preserve"> </w:t>
      </w:r>
    </w:p>
    <w:p w:rsidR="007E507C" w:rsidRPr="00067A03" w:rsidRDefault="007E507C" w:rsidP="006A7DBD">
      <w:pPr>
        <w:rPr>
          <w:rFonts w:cs="Tahoma"/>
          <w:sz w:val="20"/>
          <w:szCs w:val="20"/>
          <w:lang w:val="es-ES"/>
        </w:rPr>
      </w:pPr>
    </w:p>
    <w:p w:rsidR="00A772CC" w:rsidRPr="00067A03" w:rsidRDefault="00A772CC" w:rsidP="00835A0B">
      <w:pPr>
        <w:autoSpaceDE w:val="0"/>
        <w:autoSpaceDN w:val="0"/>
        <w:adjustRightInd w:val="0"/>
        <w:rPr>
          <w:rFonts w:cs="Tahoma"/>
          <w:color w:val="000000"/>
          <w:sz w:val="20"/>
          <w:szCs w:val="20"/>
          <w:lang w:val="es-ES" w:eastAsia="ca-ES"/>
        </w:rPr>
      </w:pPr>
      <w:r w:rsidRPr="00067A03">
        <w:rPr>
          <w:rFonts w:cs="Tahoma"/>
          <w:color w:val="000000"/>
          <w:sz w:val="20"/>
          <w:szCs w:val="20"/>
          <w:lang w:val="es-ES" w:eastAsia="ca-ES"/>
        </w:rPr>
        <w:t>En los últimos meses se han publicado</w:t>
      </w:r>
      <w:r w:rsidR="00CF30D7" w:rsidRPr="00067A03">
        <w:rPr>
          <w:rFonts w:cs="Tahoma"/>
          <w:color w:val="000000"/>
          <w:sz w:val="20"/>
          <w:szCs w:val="20"/>
          <w:lang w:val="es-ES" w:eastAsia="ca-ES"/>
        </w:rPr>
        <w:t xml:space="preserve"> </w:t>
      </w:r>
      <w:r w:rsidRPr="00067A03">
        <w:rPr>
          <w:rFonts w:cs="Tahoma"/>
          <w:color w:val="000000"/>
          <w:sz w:val="20"/>
          <w:szCs w:val="20"/>
          <w:lang w:val="es-ES" w:eastAsia="ca-ES"/>
        </w:rPr>
        <w:t>nu</w:t>
      </w:r>
      <w:r w:rsidR="00835A0B" w:rsidRPr="00067A03">
        <w:rPr>
          <w:rFonts w:cs="Tahoma"/>
          <w:color w:val="000000"/>
          <w:sz w:val="20"/>
          <w:szCs w:val="20"/>
          <w:lang w:val="es-ES" w:eastAsia="ca-ES"/>
        </w:rPr>
        <w:t xml:space="preserve">merosos estudios que </w:t>
      </w:r>
      <w:r w:rsidRPr="00067A03">
        <w:rPr>
          <w:rFonts w:cs="Tahoma"/>
          <w:color w:val="000000"/>
          <w:sz w:val="20"/>
          <w:szCs w:val="20"/>
          <w:lang w:val="es-ES" w:eastAsia="ca-ES"/>
        </w:rPr>
        <w:t>confirma</w:t>
      </w:r>
      <w:r w:rsidR="00835A0B" w:rsidRPr="00067A03">
        <w:rPr>
          <w:rFonts w:cs="Tahoma"/>
          <w:color w:val="000000"/>
          <w:sz w:val="20"/>
          <w:szCs w:val="20"/>
          <w:lang w:val="es-ES" w:eastAsia="ca-ES"/>
        </w:rPr>
        <w:t>n la</w:t>
      </w:r>
      <w:r w:rsidR="00CF30D7" w:rsidRPr="00067A03">
        <w:rPr>
          <w:rFonts w:cs="Tahoma"/>
          <w:color w:val="000000"/>
          <w:sz w:val="20"/>
          <w:szCs w:val="20"/>
          <w:lang w:val="es-ES" w:eastAsia="ca-ES"/>
        </w:rPr>
        <w:t>s</w:t>
      </w:r>
      <w:r w:rsidR="00835A0B" w:rsidRPr="00067A03">
        <w:rPr>
          <w:rFonts w:cs="Tahoma"/>
          <w:color w:val="000000"/>
          <w:sz w:val="20"/>
          <w:szCs w:val="20"/>
          <w:lang w:val="es-ES" w:eastAsia="ca-ES"/>
        </w:rPr>
        <w:t xml:space="preserve"> previsiones que hice al inicio de la pandemia.</w:t>
      </w:r>
      <w:r w:rsidR="00CF30D7" w:rsidRPr="00067A03">
        <w:rPr>
          <w:rFonts w:cs="Tahoma"/>
          <w:color w:val="000000"/>
          <w:sz w:val="20"/>
          <w:szCs w:val="20"/>
          <w:lang w:val="es-ES" w:eastAsia="ca-ES"/>
        </w:rPr>
        <w:t xml:space="preserve"> En particular, un </w:t>
      </w:r>
      <w:r w:rsidRPr="00067A03">
        <w:rPr>
          <w:rFonts w:cs="Tahoma"/>
          <w:color w:val="000000"/>
          <w:sz w:val="20"/>
          <w:szCs w:val="20"/>
          <w:lang w:val="es-ES" w:eastAsia="ca-ES"/>
        </w:rPr>
        <w:t>estudio sobre la totalidad de la población de</w:t>
      </w:r>
      <w:r w:rsidR="00CF30D7" w:rsidRPr="00067A03">
        <w:rPr>
          <w:rFonts w:cs="Tahoma"/>
          <w:color w:val="000000"/>
          <w:sz w:val="20"/>
          <w:szCs w:val="20"/>
          <w:lang w:val="es-ES" w:eastAsia="ca-ES"/>
        </w:rPr>
        <w:t xml:space="preserve"> </w:t>
      </w:r>
      <w:r w:rsidRPr="00067A03">
        <w:rPr>
          <w:rFonts w:cs="Tahoma"/>
          <w:color w:val="000000"/>
          <w:sz w:val="20"/>
          <w:szCs w:val="20"/>
          <w:lang w:val="es-ES" w:eastAsia="ca-ES"/>
        </w:rPr>
        <w:t>Escocia, en</w:t>
      </w:r>
      <w:r w:rsidR="00835A0B" w:rsidRPr="00067A03">
        <w:rPr>
          <w:rFonts w:cs="Tahoma"/>
          <w:color w:val="000000"/>
          <w:sz w:val="20"/>
          <w:szCs w:val="20"/>
          <w:lang w:val="es-ES" w:eastAsia="ca-ES"/>
        </w:rPr>
        <w:t xml:space="preserve"> el que se compararon algo más de 4.000</w:t>
      </w:r>
      <w:r w:rsidR="00CF30D7" w:rsidRPr="00067A03">
        <w:rPr>
          <w:rFonts w:cs="Tahoma"/>
          <w:color w:val="000000"/>
          <w:sz w:val="20"/>
          <w:szCs w:val="20"/>
          <w:lang w:val="es-ES" w:eastAsia="ca-ES"/>
        </w:rPr>
        <w:t xml:space="preserve"> </w:t>
      </w:r>
      <w:r w:rsidRPr="00067A03">
        <w:rPr>
          <w:rFonts w:cs="Tahoma"/>
          <w:color w:val="000000"/>
          <w:sz w:val="20"/>
          <w:szCs w:val="20"/>
          <w:lang w:val="es-ES" w:eastAsia="ca-ES"/>
        </w:rPr>
        <w:t>casos de C</w:t>
      </w:r>
      <w:r w:rsidR="00067A03" w:rsidRPr="00067A03">
        <w:rPr>
          <w:rFonts w:cs="Tahoma"/>
          <w:color w:val="000000"/>
          <w:sz w:val="20"/>
          <w:szCs w:val="20"/>
          <w:lang w:val="es-ES" w:eastAsia="ca-ES"/>
        </w:rPr>
        <w:t>ovid</w:t>
      </w:r>
      <w:r w:rsidR="00CF30D7" w:rsidRPr="00067A03">
        <w:rPr>
          <w:rFonts w:cs="Tahoma"/>
          <w:color w:val="000000"/>
          <w:sz w:val="20"/>
          <w:szCs w:val="20"/>
          <w:lang w:val="es-ES" w:eastAsia="ca-ES"/>
        </w:rPr>
        <w:t xml:space="preserve">-19 grave (ingreso en UCI o </w:t>
      </w:r>
      <w:r w:rsidRPr="00067A03">
        <w:rPr>
          <w:rFonts w:cs="Tahoma"/>
          <w:color w:val="000000"/>
          <w:sz w:val="20"/>
          <w:szCs w:val="20"/>
          <w:lang w:val="es-ES" w:eastAsia="ca-ES"/>
        </w:rPr>
        <w:t>muerte) con 36.738 de Covid-19 leve,</w:t>
      </w:r>
      <w:r w:rsidR="00835A0B" w:rsidRPr="00067A03">
        <w:rPr>
          <w:rFonts w:cs="Tahoma"/>
          <w:color w:val="000000"/>
          <w:sz w:val="20"/>
          <w:szCs w:val="20"/>
          <w:lang w:val="es-ES" w:eastAsia="ca-ES"/>
        </w:rPr>
        <w:t xml:space="preserve"> </w:t>
      </w:r>
      <w:r w:rsidRPr="00067A03">
        <w:rPr>
          <w:rFonts w:cs="Tahoma"/>
          <w:color w:val="000000"/>
          <w:sz w:val="20"/>
          <w:szCs w:val="20"/>
          <w:lang w:val="es-ES" w:eastAsia="ca-ES"/>
        </w:rPr>
        <w:t>concluyó</w:t>
      </w:r>
      <w:r w:rsidR="00CF30D7" w:rsidRPr="00067A03">
        <w:rPr>
          <w:rFonts w:cs="Tahoma"/>
          <w:color w:val="000000"/>
          <w:sz w:val="20"/>
          <w:szCs w:val="20"/>
          <w:lang w:val="es-ES" w:eastAsia="ca-ES"/>
        </w:rPr>
        <w:t xml:space="preserve"> que </w:t>
      </w:r>
      <w:r w:rsidR="00CF30D7" w:rsidRPr="00067A03">
        <w:rPr>
          <w:rFonts w:cs="Tahoma"/>
          <w:b/>
          <w:color w:val="000000"/>
          <w:sz w:val="20"/>
          <w:szCs w:val="20"/>
          <w:lang w:val="es-ES" w:eastAsia="ca-ES"/>
        </w:rPr>
        <w:t>un 38%</w:t>
      </w:r>
      <w:r w:rsidR="00CF30D7" w:rsidRPr="00067A03">
        <w:rPr>
          <w:rFonts w:cs="Tahoma"/>
          <w:color w:val="000000"/>
          <w:sz w:val="20"/>
          <w:szCs w:val="20"/>
          <w:lang w:val="es-ES" w:eastAsia="ca-ES"/>
        </w:rPr>
        <w:t xml:space="preserve"> de los casos graves </w:t>
      </w:r>
      <w:r w:rsidRPr="00067A03">
        <w:rPr>
          <w:rFonts w:cs="Tahoma"/>
          <w:color w:val="000000"/>
          <w:sz w:val="20"/>
          <w:szCs w:val="20"/>
          <w:lang w:val="es-ES" w:eastAsia="ca-ES"/>
        </w:rPr>
        <w:t>(ingreso</w:t>
      </w:r>
      <w:r w:rsidR="00CF30D7" w:rsidRPr="00067A03">
        <w:rPr>
          <w:rFonts w:cs="Tahoma"/>
          <w:color w:val="000000"/>
          <w:sz w:val="20"/>
          <w:szCs w:val="20"/>
          <w:lang w:val="es-ES" w:eastAsia="ca-ES"/>
        </w:rPr>
        <w:t xml:space="preserve"> en UCI) o mortales de Covid-19 </w:t>
      </w:r>
      <w:r w:rsidRPr="00067A03">
        <w:rPr>
          <w:rFonts w:cs="Tahoma"/>
          <w:color w:val="000000"/>
          <w:sz w:val="20"/>
          <w:szCs w:val="20"/>
          <w:lang w:val="es-ES" w:eastAsia="ca-ES"/>
        </w:rPr>
        <w:t xml:space="preserve">hasta junio </w:t>
      </w:r>
      <w:r w:rsidR="00CF30D7" w:rsidRPr="00067A03">
        <w:rPr>
          <w:rFonts w:cs="Tahoma"/>
          <w:color w:val="000000"/>
          <w:sz w:val="20"/>
          <w:szCs w:val="20"/>
          <w:lang w:val="es-ES" w:eastAsia="ca-ES"/>
        </w:rPr>
        <w:t xml:space="preserve">de 2020 serían atribuibles a la </w:t>
      </w:r>
      <w:r w:rsidRPr="00067A03">
        <w:rPr>
          <w:rFonts w:cs="Tahoma"/>
          <w:color w:val="000000"/>
          <w:sz w:val="20"/>
          <w:szCs w:val="20"/>
          <w:lang w:val="es-ES" w:eastAsia="ca-ES"/>
        </w:rPr>
        <w:t xml:space="preserve">exposición a estos </w:t>
      </w:r>
      <w:r w:rsidR="00835A0B" w:rsidRPr="00067A03">
        <w:rPr>
          <w:rFonts w:cs="Tahoma"/>
          <w:color w:val="000000"/>
          <w:sz w:val="20"/>
          <w:szCs w:val="20"/>
          <w:lang w:val="es-ES" w:eastAsia="ca-ES"/>
        </w:rPr>
        <w:t>fármacos.</w:t>
      </w:r>
    </w:p>
    <w:p w:rsidR="00CF30D7" w:rsidRPr="00067A03" w:rsidRDefault="00CF30D7" w:rsidP="00A772CC">
      <w:pPr>
        <w:autoSpaceDE w:val="0"/>
        <w:autoSpaceDN w:val="0"/>
        <w:adjustRightInd w:val="0"/>
        <w:rPr>
          <w:rFonts w:cs="Tahoma"/>
          <w:sz w:val="20"/>
          <w:szCs w:val="20"/>
          <w:lang w:val="es-ES" w:eastAsia="ca-ES"/>
        </w:rPr>
      </w:pPr>
    </w:p>
    <w:p w:rsidR="00A772CC" w:rsidRPr="00067A03" w:rsidRDefault="00A772CC" w:rsidP="00A772CC">
      <w:pPr>
        <w:autoSpaceDE w:val="0"/>
        <w:autoSpaceDN w:val="0"/>
        <w:adjustRightInd w:val="0"/>
        <w:rPr>
          <w:rFonts w:cs="Tahoma"/>
          <w:sz w:val="20"/>
          <w:szCs w:val="20"/>
          <w:lang w:val="es-ES" w:eastAsia="ca-ES"/>
        </w:rPr>
      </w:pPr>
      <w:r w:rsidRPr="00067A03">
        <w:rPr>
          <w:rFonts w:cs="Tahoma"/>
          <w:sz w:val="20"/>
          <w:szCs w:val="20"/>
          <w:lang w:val="es-ES" w:eastAsia="ca-ES"/>
        </w:rPr>
        <w:t>Lo más preocupante de esta cuestión es que</w:t>
      </w:r>
      <w:r w:rsidR="00CF30D7" w:rsidRPr="00067A03">
        <w:rPr>
          <w:rFonts w:cs="Tahoma"/>
          <w:sz w:val="20"/>
          <w:szCs w:val="20"/>
          <w:lang w:val="es-ES" w:eastAsia="ca-ES"/>
        </w:rPr>
        <w:t xml:space="preserve"> </w:t>
      </w:r>
      <w:r w:rsidR="00835A0B" w:rsidRPr="00067A03">
        <w:rPr>
          <w:rFonts w:cs="Tahoma"/>
          <w:sz w:val="20"/>
          <w:szCs w:val="20"/>
          <w:lang w:val="es-ES" w:eastAsia="ca-ES"/>
        </w:rPr>
        <w:t xml:space="preserve">numerosos estudios han </w:t>
      </w:r>
      <w:r w:rsidRPr="00067A03">
        <w:rPr>
          <w:rFonts w:cs="Tahoma"/>
          <w:sz w:val="20"/>
          <w:szCs w:val="20"/>
          <w:lang w:val="es-ES" w:eastAsia="ca-ES"/>
        </w:rPr>
        <w:t>mostrado de manera</w:t>
      </w:r>
      <w:r w:rsidR="00CF30D7" w:rsidRPr="00067A03">
        <w:rPr>
          <w:rFonts w:cs="Tahoma"/>
          <w:sz w:val="20"/>
          <w:szCs w:val="20"/>
          <w:lang w:val="es-ES" w:eastAsia="ca-ES"/>
        </w:rPr>
        <w:t xml:space="preserve"> </w:t>
      </w:r>
      <w:r w:rsidRPr="00067A03">
        <w:rPr>
          <w:rFonts w:cs="Tahoma"/>
          <w:sz w:val="20"/>
          <w:szCs w:val="20"/>
          <w:lang w:val="es-ES" w:eastAsia="ca-ES"/>
        </w:rPr>
        <w:t>repetida que como mínimo un 40% de las</w:t>
      </w:r>
      <w:r w:rsidR="00835A0B" w:rsidRPr="00067A03">
        <w:rPr>
          <w:rFonts w:cs="Tahoma"/>
          <w:sz w:val="20"/>
          <w:szCs w:val="20"/>
          <w:lang w:val="es-ES" w:eastAsia="ca-ES"/>
        </w:rPr>
        <w:t xml:space="preserve"> </w:t>
      </w:r>
      <w:r w:rsidRPr="00067A03">
        <w:rPr>
          <w:rFonts w:cs="Tahoma"/>
          <w:sz w:val="20"/>
          <w:szCs w:val="20"/>
          <w:lang w:val="es-ES" w:eastAsia="ca-ES"/>
        </w:rPr>
        <w:t xml:space="preserve">personas </w:t>
      </w:r>
      <w:r w:rsidR="00CF30D7" w:rsidRPr="00067A03">
        <w:rPr>
          <w:rFonts w:cs="Tahoma"/>
          <w:sz w:val="20"/>
          <w:szCs w:val="20"/>
          <w:lang w:val="es-ES" w:eastAsia="ca-ES"/>
        </w:rPr>
        <w:t xml:space="preserve">expuestas a estos fármacos, los </w:t>
      </w:r>
      <w:r w:rsidRPr="00067A03">
        <w:rPr>
          <w:rFonts w:cs="Tahoma"/>
          <w:sz w:val="20"/>
          <w:szCs w:val="20"/>
          <w:lang w:val="es-ES" w:eastAsia="ca-ES"/>
        </w:rPr>
        <w:t>reciben sin justificación clínica alguna.</w:t>
      </w:r>
      <w:r w:rsidR="00835A0B" w:rsidRPr="00067A03">
        <w:rPr>
          <w:rFonts w:cs="Tahoma"/>
          <w:sz w:val="20"/>
          <w:szCs w:val="20"/>
          <w:lang w:val="es-ES" w:eastAsia="ca-ES"/>
        </w:rPr>
        <w:t xml:space="preserve"> Para algunos medicamentos, el consumo injustificado puede ser del orden de 80%.</w:t>
      </w:r>
    </w:p>
    <w:p w:rsidR="007C3A17" w:rsidRPr="00067A03" w:rsidRDefault="007C3A17" w:rsidP="00A772CC">
      <w:pPr>
        <w:autoSpaceDE w:val="0"/>
        <w:autoSpaceDN w:val="0"/>
        <w:adjustRightInd w:val="0"/>
        <w:rPr>
          <w:rFonts w:cs="Tahoma"/>
          <w:sz w:val="20"/>
          <w:szCs w:val="20"/>
          <w:lang w:val="es-ES" w:eastAsia="ca-ES"/>
        </w:rPr>
      </w:pPr>
    </w:p>
    <w:p w:rsidR="00835A0B" w:rsidRPr="00067A03" w:rsidRDefault="00A772CC" w:rsidP="00CF30D7">
      <w:pPr>
        <w:autoSpaceDE w:val="0"/>
        <w:autoSpaceDN w:val="0"/>
        <w:adjustRightInd w:val="0"/>
        <w:rPr>
          <w:rFonts w:cs="Tahoma"/>
          <w:b/>
          <w:sz w:val="20"/>
          <w:szCs w:val="20"/>
          <w:lang w:val="es-ES" w:eastAsia="ca-ES"/>
        </w:rPr>
      </w:pPr>
      <w:r w:rsidRPr="00067A03">
        <w:rPr>
          <w:rFonts w:cs="Tahoma"/>
          <w:b/>
          <w:sz w:val="20"/>
          <w:szCs w:val="20"/>
          <w:lang w:val="es-ES" w:eastAsia="ca-ES"/>
        </w:rPr>
        <w:t>Enfermar o morir per haber tomado un</w:t>
      </w:r>
      <w:r w:rsidR="007C3A17" w:rsidRPr="00067A03">
        <w:rPr>
          <w:rFonts w:cs="Tahoma"/>
          <w:b/>
          <w:sz w:val="20"/>
          <w:szCs w:val="20"/>
          <w:lang w:val="es-ES" w:eastAsia="ca-ES"/>
        </w:rPr>
        <w:t xml:space="preserve"> f</w:t>
      </w:r>
      <w:r w:rsidRPr="00067A03">
        <w:rPr>
          <w:rFonts w:cs="Tahoma"/>
          <w:b/>
          <w:sz w:val="20"/>
          <w:szCs w:val="20"/>
          <w:lang w:val="es-ES" w:eastAsia="ca-ES"/>
        </w:rPr>
        <w:t>ármaco innecesario es una cruel ironía.</w:t>
      </w:r>
      <w:r w:rsidR="00CF30D7" w:rsidRPr="00067A03">
        <w:rPr>
          <w:rFonts w:cs="Tahoma"/>
          <w:b/>
          <w:sz w:val="20"/>
          <w:szCs w:val="20"/>
          <w:lang w:val="es-ES" w:eastAsia="ca-ES"/>
        </w:rPr>
        <w:t xml:space="preserve"> </w:t>
      </w:r>
    </w:p>
    <w:p w:rsidR="00835A0B" w:rsidRPr="00067A03" w:rsidRDefault="00835A0B" w:rsidP="00CF30D7">
      <w:pPr>
        <w:autoSpaceDE w:val="0"/>
        <w:autoSpaceDN w:val="0"/>
        <w:adjustRightInd w:val="0"/>
        <w:rPr>
          <w:rFonts w:cs="Tahoma"/>
          <w:sz w:val="20"/>
          <w:szCs w:val="20"/>
          <w:lang w:val="es-ES" w:eastAsia="ca-ES"/>
        </w:rPr>
      </w:pPr>
    </w:p>
    <w:p w:rsidR="00835A0B" w:rsidRPr="00067A03" w:rsidRDefault="00835A0B" w:rsidP="00CF30D7">
      <w:pPr>
        <w:autoSpaceDE w:val="0"/>
        <w:autoSpaceDN w:val="0"/>
        <w:adjustRightInd w:val="0"/>
        <w:rPr>
          <w:rFonts w:cs="Tahoma"/>
          <w:sz w:val="20"/>
          <w:szCs w:val="20"/>
          <w:lang w:val="es-ES" w:eastAsia="ca-ES"/>
        </w:rPr>
      </w:pPr>
      <w:r w:rsidRPr="00067A03">
        <w:rPr>
          <w:rFonts w:cs="Tahoma"/>
          <w:sz w:val="20"/>
          <w:szCs w:val="20"/>
          <w:lang w:val="es-ES" w:eastAsia="ca-ES"/>
        </w:rPr>
        <w:t>El sistema sanitario tiene una r</w:t>
      </w:r>
      <w:r w:rsidR="00CF30D7" w:rsidRPr="00067A03">
        <w:rPr>
          <w:rFonts w:cs="Tahoma"/>
          <w:sz w:val="20"/>
          <w:szCs w:val="20"/>
          <w:lang w:val="es-ES" w:eastAsia="ca-ES"/>
        </w:rPr>
        <w:t xml:space="preserve">esponsabilidad </w:t>
      </w:r>
      <w:r w:rsidRPr="00067A03">
        <w:rPr>
          <w:rFonts w:cs="Tahoma"/>
          <w:sz w:val="20"/>
          <w:szCs w:val="20"/>
          <w:lang w:val="es-ES" w:eastAsia="ca-ES"/>
        </w:rPr>
        <w:t>evidente en esta cuestión.</w:t>
      </w:r>
      <w:r w:rsidR="00CF30D7" w:rsidRPr="00067A03">
        <w:rPr>
          <w:rFonts w:cs="Tahoma"/>
          <w:sz w:val="20"/>
          <w:szCs w:val="20"/>
          <w:lang w:val="es-ES" w:eastAsia="ca-ES"/>
        </w:rPr>
        <w:t xml:space="preserve"> Este parlamento aprobó hace unos años la desgravación de los ingresos en especies recibidos para “formación” por</w:t>
      </w:r>
      <w:r w:rsidRPr="00067A03">
        <w:rPr>
          <w:rFonts w:cs="Tahoma"/>
          <w:sz w:val="20"/>
          <w:szCs w:val="20"/>
          <w:lang w:val="es-ES" w:eastAsia="ca-ES"/>
        </w:rPr>
        <w:t xml:space="preserve"> los profesionales sanitarios. Son i</w:t>
      </w:r>
      <w:r w:rsidR="00CF30D7" w:rsidRPr="00067A03">
        <w:rPr>
          <w:rFonts w:cs="Tahoma"/>
          <w:sz w:val="20"/>
          <w:szCs w:val="20"/>
          <w:lang w:val="es-ES" w:eastAsia="ca-ES"/>
        </w:rPr>
        <w:t xml:space="preserve">ngresos </w:t>
      </w:r>
      <w:r w:rsidRPr="00067A03">
        <w:rPr>
          <w:rFonts w:cs="Tahoma"/>
          <w:sz w:val="20"/>
          <w:szCs w:val="20"/>
          <w:lang w:val="es-ES" w:eastAsia="ca-ES"/>
        </w:rPr>
        <w:t>que proceden</w:t>
      </w:r>
      <w:r w:rsidR="00CF30D7" w:rsidRPr="00067A03">
        <w:rPr>
          <w:rFonts w:cs="Tahoma"/>
          <w:sz w:val="20"/>
          <w:szCs w:val="20"/>
          <w:lang w:val="es-ES" w:eastAsia="ca-ES"/>
        </w:rPr>
        <w:t xml:space="preserve"> de la industria farmacéutica, </w:t>
      </w:r>
      <w:r w:rsidRPr="00067A03">
        <w:rPr>
          <w:rFonts w:cs="Tahoma"/>
          <w:sz w:val="20"/>
          <w:szCs w:val="20"/>
          <w:lang w:val="es-ES" w:eastAsia="ca-ES"/>
        </w:rPr>
        <w:t xml:space="preserve">que es el </w:t>
      </w:r>
      <w:r w:rsidR="00CF30D7" w:rsidRPr="00067A03">
        <w:rPr>
          <w:rFonts w:cs="Tahoma"/>
          <w:sz w:val="20"/>
          <w:szCs w:val="20"/>
          <w:lang w:val="es-ES" w:eastAsia="ca-ES"/>
        </w:rPr>
        <w:t xml:space="preserve">principal suministrador directo o indirecto de formación continuada en España. </w:t>
      </w:r>
      <w:r w:rsidR="00067A03">
        <w:rPr>
          <w:rFonts w:cs="Tahoma"/>
          <w:sz w:val="20"/>
          <w:szCs w:val="20"/>
          <w:lang w:val="es-ES" w:eastAsia="ca-ES"/>
        </w:rPr>
        <w:t xml:space="preserve">Me pregunto, Señorías, </w:t>
      </w:r>
      <w:r w:rsidR="002852AB" w:rsidRPr="002852AB">
        <w:rPr>
          <w:rFonts w:cs="Tahoma"/>
          <w:b/>
          <w:sz w:val="20"/>
          <w:szCs w:val="20"/>
          <w:lang w:val="es-ES" w:eastAsia="ca-ES"/>
        </w:rPr>
        <w:t>¿</w:t>
      </w:r>
      <w:r w:rsidR="00067A03" w:rsidRPr="002852AB">
        <w:rPr>
          <w:rFonts w:cs="Tahoma"/>
          <w:b/>
          <w:sz w:val="20"/>
          <w:szCs w:val="20"/>
          <w:lang w:val="es-ES" w:eastAsia="ca-ES"/>
        </w:rPr>
        <w:t>q</w:t>
      </w:r>
      <w:r w:rsidRPr="002852AB">
        <w:rPr>
          <w:rFonts w:cs="Tahoma"/>
          <w:b/>
          <w:sz w:val="20"/>
          <w:szCs w:val="20"/>
          <w:lang w:val="es-ES" w:eastAsia="ca-ES"/>
        </w:rPr>
        <w:t>ué empresa convencional aceptaría como normal que sus trabajadores reciban regalos y dinero del principal proveedor de materias primas?</w:t>
      </w:r>
      <w:r w:rsidRPr="00067A03">
        <w:rPr>
          <w:rFonts w:cs="Tahoma"/>
          <w:sz w:val="20"/>
          <w:szCs w:val="20"/>
          <w:lang w:val="es-ES" w:eastAsia="ca-ES"/>
        </w:rPr>
        <w:t xml:space="preserve"> </w:t>
      </w:r>
    </w:p>
    <w:p w:rsidR="00835A0B" w:rsidRPr="00067A03" w:rsidRDefault="00835A0B" w:rsidP="00CF30D7">
      <w:pPr>
        <w:autoSpaceDE w:val="0"/>
        <w:autoSpaceDN w:val="0"/>
        <w:adjustRightInd w:val="0"/>
        <w:rPr>
          <w:rFonts w:cs="Tahoma"/>
          <w:sz w:val="20"/>
          <w:szCs w:val="20"/>
          <w:lang w:val="es-ES" w:eastAsia="ca-ES"/>
        </w:rPr>
      </w:pPr>
    </w:p>
    <w:p w:rsidR="00CF30D7" w:rsidRDefault="00067A03" w:rsidP="00CF30D7">
      <w:pPr>
        <w:autoSpaceDE w:val="0"/>
        <w:autoSpaceDN w:val="0"/>
        <w:adjustRightInd w:val="0"/>
        <w:rPr>
          <w:rFonts w:cs="Tahoma"/>
          <w:sz w:val="20"/>
          <w:szCs w:val="20"/>
          <w:lang w:val="es-ES" w:eastAsia="ca-ES"/>
        </w:rPr>
      </w:pPr>
      <w:r>
        <w:rPr>
          <w:rFonts w:cs="Tahoma"/>
          <w:sz w:val="20"/>
          <w:szCs w:val="20"/>
          <w:lang w:val="es-ES" w:eastAsia="ca-ES"/>
        </w:rPr>
        <w:t>Varios estudios y análisis comparativo</w:t>
      </w:r>
      <w:r w:rsidR="00CF30D7" w:rsidRPr="00067A03">
        <w:rPr>
          <w:rFonts w:cs="Tahoma"/>
          <w:sz w:val="20"/>
          <w:szCs w:val="20"/>
          <w:lang w:val="es-ES" w:eastAsia="ca-ES"/>
        </w:rPr>
        <w:t>s han mostrado que España es el miembro de la UE más permisivo en materia de conflictos de intereses y relaciones opacas de profesionales sanitarios con las compañías farmacéuticas.</w:t>
      </w:r>
      <w:r w:rsidR="00DB55A9">
        <w:rPr>
          <w:rFonts w:cs="Tahoma"/>
          <w:sz w:val="20"/>
          <w:szCs w:val="20"/>
          <w:lang w:val="es-ES" w:eastAsia="ca-ES"/>
        </w:rPr>
        <w:t xml:space="preserve"> Lo mismo ocurre con</w:t>
      </w:r>
      <w:r w:rsidR="00835A0B" w:rsidRPr="00067A03">
        <w:rPr>
          <w:rFonts w:cs="Tahoma"/>
          <w:sz w:val="20"/>
          <w:szCs w:val="20"/>
          <w:lang w:val="es-ES" w:eastAsia="ca-ES"/>
        </w:rPr>
        <w:t xml:space="preserve"> l</w:t>
      </w:r>
      <w:r w:rsidR="00DB55A9">
        <w:rPr>
          <w:rFonts w:cs="Tahoma"/>
          <w:sz w:val="20"/>
          <w:szCs w:val="20"/>
          <w:lang w:val="es-ES" w:eastAsia="ca-ES"/>
        </w:rPr>
        <w:t>as sociedades médicas y su</w:t>
      </w:r>
      <w:r w:rsidR="00835A0B" w:rsidRPr="00067A03">
        <w:rPr>
          <w:rFonts w:cs="Tahoma"/>
          <w:sz w:val="20"/>
          <w:szCs w:val="20"/>
          <w:lang w:val="es-ES" w:eastAsia="ca-ES"/>
        </w:rPr>
        <w:t xml:space="preserve">s </w:t>
      </w:r>
      <w:r w:rsidR="007C3A17" w:rsidRPr="00067A03">
        <w:rPr>
          <w:rFonts w:cs="Tahoma"/>
          <w:sz w:val="20"/>
          <w:szCs w:val="20"/>
          <w:lang w:val="es-ES" w:eastAsia="ca-ES"/>
        </w:rPr>
        <w:t>e</w:t>
      </w:r>
      <w:r w:rsidR="00835A0B" w:rsidRPr="00067A03">
        <w:rPr>
          <w:rFonts w:cs="Tahoma"/>
          <w:sz w:val="20"/>
          <w:szCs w:val="20"/>
          <w:lang w:val="es-ES" w:eastAsia="ca-ES"/>
        </w:rPr>
        <w:t xml:space="preserve">xpertos. </w:t>
      </w:r>
    </w:p>
    <w:p w:rsidR="00DB55A9" w:rsidRPr="00067A03" w:rsidRDefault="00DB55A9" w:rsidP="00CF30D7">
      <w:pPr>
        <w:autoSpaceDE w:val="0"/>
        <w:autoSpaceDN w:val="0"/>
        <w:adjustRightInd w:val="0"/>
        <w:rPr>
          <w:rFonts w:cs="Tahoma"/>
          <w:sz w:val="20"/>
          <w:szCs w:val="20"/>
          <w:lang w:val="es-ES" w:eastAsia="ca-ES"/>
        </w:rPr>
      </w:pPr>
    </w:p>
    <w:p w:rsidR="00CF30D7" w:rsidRPr="00067A03" w:rsidRDefault="00CF30D7" w:rsidP="00CF30D7">
      <w:pPr>
        <w:autoSpaceDE w:val="0"/>
        <w:autoSpaceDN w:val="0"/>
        <w:adjustRightInd w:val="0"/>
        <w:rPr>
          <w:rFonts w:cs="Tahoma"/>
          <w:sz w:val="20"/>
          <w:szCs w:val="20"/>
          <w:lang w:val="es-ES" w:eastAsia="ca-ES"/>
        </w:rPr>
      </w:pPr>
      <w:r w:rsidRPr="00067A03">
        <w:rPr>
          <w:rFonts w:cs="Tahoma"/>
          <w:sz w:val="20"/>
          <w:szCs w:val="20"/>
          <w:lang w:val="es-ES" w:eastAsia="ca-ES"/>
        </w:rPr>
        <w:t>En este sentido, me ha extrañado que ninguno de los comparecientes representantes de corporaciones profesionales hiciera la más mínima alusión a los conflictos de inte</w:t>
      </w:r>
      <w:r w:rsidR="00D72CEC" w:rsidRPr="00067A03">
        <w:rPr>
          <w:rFonts w:cs="Tahoma"/>
          <w:sz w:val="20"/>
          <w:szCs w:val="20"/>
          <w:lang w:val="es-ES" w:eastAsia="ca-ES"/>
        </w:rPr>
        <w:t xml:space="preserve">reses de la mayoría de </w:t>
      </w:r>
      <w:r w:rsidRPr="00067A03">
        <w:rPr>
          <w:rFonts w:cs="Tahoma"/>
          <w:sz w:val="20"/>
          <w:szCs w:val="20"/>
          <w:lang w:val="es-ES" w:eastAsia="ca-ES"/>
        </w:rPr>
        <w:t>l</w:t>
      </w:r>
      <w:r w:rsidR="00D72CEC" w:rsidRPr="00067A03">
        <w:rPr>
          <w:rFonts w:cs="Tahoma"/>
          <w:sz w:val="20"/>
          <w:szCs w:val="20"/>
          <w:lang w:val="es-ES" w:eastAsia="ca-ES"/>
        </w:rPr>
        <w:t>a</w:t>
      </w:r>
      <w:r w:rsidRPr="00067A03">
        <w:rPr>
          <w:rFonts w:cs="Tahoma"/>
          <w:sz w:val="20"/>
          <w:szCs w:val="20"/>
          <w:lang w:val="es-ES" w:eastAsia="ca-ES"/>
        </w:rPr>
        <w:t>s sociedades médicas</w:t>
      </w:r>
      <w:r w:rsidR="00D72CEC" w:rsidRPr="00067A03">
        <w:rPr>
          <w:rFonts w:cs="Tahoma"/>
          <w:sz w:val="20"/>
          <w:szCs w:val="20"/>
          <w:lang w:val="es-ES" w:eastAsia="ca-ES"/>
        </w:rPr>
        <w:t xml:space="preserve"> </w:t>
      </w:r>
      <w:r w:rsidR="00DB55A9">
        <w:rPr>
          <w:rFonts w:cs="Tahoma"/>
          <w:sz w:val="20"/>
          <w:szCs w:val="20"/>
          <w:lang w:val="es-ES" w:eastAsia="ca-ES"/>
        </w:rPr>
        <w:t xml:space="preserve">españolas, </w:t>
      </w:r>
      <w:r w:rsidR="00D72CEC" w:rsidRPr="00067A03">
        <w:rPr>
          <w:rFonts w:cs="Tahoma"/>
          <w:sz w:val="20"/>
          <w:szCs w:val="20"/>
          <w:lang w:val="es-ES" w:eastAsia="ca-ES"/>
        </w:rPr>
        <w:t xml:space="preserve">de los miembros de sus juntas directivas y </w:t>
      </w:r>
      <w:r w:rsidR="00DB55A9">
        <w:rPr>
          <w:rFonts w:cs="Tahoma"/>
          <w:sz w:val="20"/>
          <w:szCs w:val="20"/>
          <w:lang w:val="es-ES" w:eastAsia="ca-ES"/>
        </w:rPr>
        <w:t xml:space="preserve">de sus </w:t>
      </w:r>
      <w:r w:rsidR="00D72CEC" w:rsidRPr="00067A03">
        <w:rPr>
          <w:rFonts w:cs="Tahoma"/>
          <w:sz w:val="20"/>
          <w:szCs w:val="20"/>
          <w:lang w:val="es-ES" w:eastAsia="ca-ES"/>
        </w:rPr>
        <w:t>grupos de trabajo.</w:t>
      </w:r>
      <w:r w:rsidR="00DB55A9">
        <w:rPr>
          <w:rFonts w:cs="Tahoma"/>
          <w:sz w:val="20"/>
          <w:szCs w:val="20"/>
          <w:lang w:val="es-ES" w:eastAsia="ca-ES"/>
        </w:rPr>
        <w:t xml:space="preserve"> Y me ha llamado la atención que ustedes no preguntaran por los CI.</w:t>
      </w:r>
    </w:p>
    <w:p w:rsidR="001160A8" w:rsidRPr="00067A03" w:rsidRDefault="001160A8" w:rsidP="006A7DBD">
      <w:pPr>
        <w:rPr>
          <w:rFonts w:cs="Tahoma"/>
          <w:sz w:val="20"/>
          <w:szCs w:val="20"/>
          <w:lang w:val="es-ES"/>
        </w:rPr>
      </w:pPr>
    </w:p>
    <w:p w:rsidR="00D76E02" w:rsidRPr="00067A03" w:rsidRDefault="00D76E02" w:rsidP="00D76E02">
      <w:pPr>
        <w:rPr>
          <w:rFonts w:cs="Tahoma"/>
          <w:sz w:val="20"/>
          <w:szCs w:val="20"/>
          <w:lang w:val="es-ES"/>
        </w:rPr>
      </w:pPr>
      <w:r w:rsidRPr="00DB55A9">
        <w:rPr>
          <w:rFonts w:cs="Tahoma"/>
          <w:b/>
          <w:sz w:val="20"/>
          <w:szCs w:val="20"/>
          <w:lang w:val="es-ES"/>
        </w:rPr>
        <w:t>Estrategias de vacunación.</w:t>
      </w:r>
      <w:r w:rsidRPr="00067A03">
        <w:rPr>
          <w:rFonts w:cs="Tahoma"/>
          <w:sz w:val="20"/>
          <w:szCs w:val="20"/>
          <w:lang w:val="es-ES"/>
        </w:rPr>
        <w:t xml:space="preserve"> La tan manida expresión relación beneficio/riesgo favorable no tiene ningún significado concreto, si no se definen los grupos de población para los que se propone un fármaco o vacuna. La epidemia no afecta del mismo modo a todos los grupos de edad</w:t>
      </w:r>
      <w:r w:rsidR="00DB55A9">
        <w:rPr>
          <w:rFonts w:cs="Tahoma"/>
          <w:sz w:val="20"/>
          <w:szCs w:val="20"/>
          <w:lang w:val="es-ES"/>
        </w:rPr>
        <w:t>, y la vacuna no tiene los mismos efectos adversos en todas las edades. En consecuencia, la magnitud del efecto beneficioso y también la de los riesgos varía con la edad</w:t>
      </w:r>
      <w:r w:rsidRPr="00067A03">
        <w:rPr>
          <w:rFonts w:cs="Tahoma"/>
          <w:sz w:val="20"/>
          <w:szCs w:val="20"/>
          <w:lang w:val="es-ES"/>
        </w:rPr>
        <w:t>. Existe consenso sobre el efecto protector sobre la comunidad de las 1as y 2as dosis, pero no sobre 3as y 4as. Fal</w:t>
      </w:r>
      <w:r w:rsidR="00DB55A9">
        <w:rPr>
          <w:rFonts w:cs="Tahoma"/>
          <w:sz w:val="20"/>
          <w:szCs w:val="20"/>
          <w:lang w:val="es-ES"/>
        </w:rPr>
        <w:t>ta de estudios, necesidad de examinn</w:t>
      </w:r>
      <w:r w:rsidRPr="00067A03">
        <w:rPr>
          <w:rFonts w:cs="Tahoma"/>
          <w:sz w:val="20"/>
          <w:szCs w:val="20"/>
          <w:lang w:val="es-ES"/>
        </w:rPr>
        <w:t>ar los resultados en tiempo real</w:t>
      </w:r>
      <w:r w:rsidR="00DB55A9">
        <w:rPr>
          <w:rFonts w:cs="Tahoma"/>
          <w:sz w:val="20"/>
          <w:szCs w:val="20"/>
          <w:lang w:val="es-ES"/>
        </w:rPr>
        <w:t xml:space="preserve"> para resolver las principales incertidumbres</w:t>
      </w:r>
      <w:r w:rsidRPr="00067A03">
        <w:rPr>
          <w:rFonts w:cs="Tahoma"/>
          <w:sz w:val="20"/>
          <w:szCs w:val="20"/>
          <w:lang w:val="es-ES"/>
        </w:rPr>
        <w:t>.</w:t>
      </w:r>
    </w:p>
    <w:p w:rsidR="00D76E02" w:rsidRPr="00067A03" w:rsidRDefault="00D76E02" w:rsidP="006A7DBD">
      <w:pPr>
        <w:rPr>
          <w:rFonts w:cs="Tahoma"/>
          <w:sz w:val="20"/>
          <w:szCs w:val="20"/>
          <w:lang w:val="es-ES"/>
        </w:rPr>
      </w:pPr>
    </w:p>
    <w:p w:rsidR="007E507C" w:rsidRPr="00067A03" w:rsidRDefault="00DB55A9" w:rsidP="007E507C">
      <w:pPr>
        <w:rPr>
          <w:rFonts w:cs="Tahoma"/>
          <w:sz w:val="20"/>
          <w:szCs w:val="20"/>
          <w:lang w:val="es-ES"/>
        </w:rPr>
      </w:pPr>
      <w:r>
        <w:rPr>
          <w:rFonts w:cs="Tahoma"/>
          <w:sz w:val="20"/>
          <w:szCs w:val="20"/>
          <w:lang w:val="es-ES"/>
        </w:rPr>
        <w:t>No comentaré las medidas de efectividad retórica, como el uso de ma</w:t>
      </w:r>
      <w:r w:rsidR="00766392" w:rsidRPr="00067A03">
        <w:rPr>
          <w:rFonts w:cs="Tahoma"/>
          <w:sz w:val="20"/>
          <w:szCs w:val="20"/>
          <w:lang w:val="es-ES"/>
        </w:rPr>
        <w:t>scar</w:t>
      </w:r>
      <w:r>
        <w:rPr>
          <w:rFonts w:cs="Tahoma"/>
          <w:sz w:val="20"/>
          <w:szCs w:val="20"/>
          <w:lang w:val="es-ES"/>
        </w:rPr>
        <w:t>ill</w:t>
      </w:r>
      <w:r w:rsidR="00766392" w:rsidRPr="00067A03">
        <w:rPr>
          <w:rFonts w:cs="Tahoma"/>
          <w:sz w:val="20"/>
          <w:szCs w:val="20"/>
          <w:lang w:val="es-ES"/>
        </w:rPr>
        <w:t xml:space="preserve">as al aire libre, </w:t>
      </w:r>
      <w:r>
        <w:rPr>
          <w:rFonts w:cs="Tahoma"/>
          <w:sz w:val="20"/>
          <w:szCs w:val="20"/>
          <w:lang w:val="es-ES"/>
        </w:rPr>
        <w:t xml:space="preserve">o el </w:t>
      </w:r>
      <w:r w:rsidR="00766392" w:rsidRPr="00067A03">
        <w:rPr>
          <w:rFonts w:cs="Tahoma"/>
          <w:sz w:val="20"/>
          <w:szCs w:val="20"/>
          <w:lang w:val="es-ES"/>
        </w:rPr>
        <w:t>p</w:t>
      </w:r>
      <w:r w:rsidR="006A7DBD" w:rsidRPr="00067A03">
        <w:rPr>
          <w:rFonts w:cs="Tahoma"/>
          <w:sz w:val="20"/>
          <w:szCs w:val="20"/>
          <w:lang w:val="es-ES"/>
        </w:rPr>
        <w:t>asaporte Covid</w:t>
      </w:r>
      <w:r w:rsidR="00766392" w:rsidRPr="00067A03">
        <w:rPr>
          <w:rFonts w:cs="Tahoma"/>
          <w:sz w:val="20"/>
          <w:szCs w:val="20"/>
          <w:lang w:val="es-ES"/>
        </w:rPr>
        <w:t>)</w:t>
      </w:r>
      <w:r w:rsidR="006A7DBD" w:rsidRPr="00067A03">
        <w:rPr>
          <w:rFonts w:cs="Tahoma"/>
          <w:sz w:val="20"/>
          <w:szCs w:val="20"/>
          <w:lang w:val="es-ES"/>
        </w:rPr>
        <w:t>.</w:t>
      </w:r>
      <w:r>
        <w:rPr>
          <w:rFonts w:cs="Tahoma"/>
          <w:sz w:val="20"/>
          <w:szCs w:val="20"/>
          <w:lang w:val="es-ES"/>
        </w:rPr>
        <w:t xml:space="preserve"> Ni tampoco las i</w:t>
      </w:r>
      <w:r w:rsidR="007E507C" w:rsidRPr="00067A03">
        <w:rPr>
          <w:rFonts w:cs="Tahoma"/>
          <w:sz w:val="20"/>
          <w:szCs w:val="20"/>
          <w:lang w:val="es-ES"/>
        </w:rPr>
        <w:t>ndemnizaciones por EI.</w:t>
      </w:r>
    </w:p>
    <w:p w:rsidR="007E507C" w:rsidRPr="00067A03" w:rsidRDefault="007E507C" w:rsidP="006A7DBD">
      <w:pPr>
        <w:rPr>
          <w:rFonts w:cs="Tahoma"/>
          <w:sz w:val="20"/>
          <w:szCs w:val="20"/>
          <w:lang w:val="es-ES"/>
        </w:rPr>
      </w:pPr>
    </w:p>
    <w:p w:rsidR="00711230" w:rsidRPr="00067A03" w:rsidRDefault="00711230">
      <w:pPr>
        <w:rPr>
          <w:rFonts w:cs="Tahoma"/>
          <w:sz w:val="20"/>
          <w:szCs w:val="20"/>
          <w:lang w:val="es-ES"/>
        </w:rPr>
      </w:pPr>
    </w:p>
    <w:p w:rsidR="00C55D0E" w:rsidRPr="00067A03" w:rsidRDefault="007E507C">
      <w:pPr>
        <w:rPr>
          <w:rFonts w:cs="Tahoma"/>
          <w:b/>
          <w:sz w:val="20"/>
          <w:szCs w:val="20"/>
          <w:lang w:val="es-ES"/>
        </w:rPr>
      </w:pPr>
      <w:r w:rsidRPr="00067A03">
        <w:rPr>
          <w:rFonts w:cs="Tahoma"/>
          <w:b/>
          <w:sz w:val="20"/>
          <w:szCs w:val="20"/>
          <w:lang w:val="es-ES"/>
        </w:rPr>
        <w:t xml:space="preserve">Tercero. </w:t>
      </w:r>
      <w:r w:rsidR="008F66D8" w:rsidRPr="00067A03">
        <w:rPr>
          <w:rFonts w:cs="Tahoma"/>
          <w:b/>
          <w:sz w:val="20"/>
          <w:szCs w:val="20"/>
          <w:lang w:val="es-ES"/>
        </w:rPr>
        <w:t>Derechos de propiedad intelectual</w:t>
      </w:r>
    </w:p>
    <w:p w:rsidR="001160A8" w:rsidRDefault="001160A8">
      <w:pPr>
        <w:rPr>
          <w:rFonts w:cs="Tahoma"/>
          <w:sz w:val="20"/>
          <w:szCs w:val="20"/>
          <w:lang w:val="es-ES"/>
        </w:rPr>
      </w:pPr>
    </w:p>
    <w:p w:rsidR="008F66D8" w:rsidRPr="00067A03" w:rsidRDefault="00920EBA">
      <w:pPr>
        <w:rPr>
          <w:rFonts w:cs="Tahoma"/>
          <w:sz w:val="20"/>
          <w:szCs w:val="20"/>
          <w:lang w:val="es-ES"/>
        </w:rPr>
      </w:pPr>
      <w:r w:rsidRPr="00067A03">
        <w:rPr>
          <w:rFonts w:cs="Tahoma"/>
          <w:sz w:val="20"/>
          <w:szCs w:val="20"/>
          <w:lang w:val="es-ES"/>
        </w:rPr>
        <w:t>Fernando Lamata el 29 de noviembre de 2021.</w:t>
      </w:r>
    </w:p>
    <w:p w:rsidR="00986DB4" w:rsidRPr="00067A03" w:rsidRDefault="00986DB4">
      <w:pPr>
        <w:rPr>
          <w:rFonts w:cs="Tahoma"/>
          <w:sz w:val="20"/>
          <w:szCs w:val="20"/>
          <w:lang w:val="es-ES"/>
        </w:rPr>
      </w:pPr>
    </w:p>
    <w:p w:rsidR="00F51953" w:rsidRPr="00067A03" w:rsidRDefault="00F51953">
      <w:pPr>
        <w:rPr>
          <w:rFonts w:cs="Tahoma"/>
          <w:sz w:val="20"/>
          <w:szCs w:val="20"/>
          <w:lang w:val="es-ES"/>
        </w:rPr>
      </w:pPr>
      <w:r w:rsidRPr="00067A03">
        <w:rPr>
          <w:rFonts w:cs="Tahoma"/>
          <w:sz w:val="20"/>
          <w:szCs w:val="20"/>
          <w:lang w:val="es-ES"/>
        </w:rPr>
        <w:t>Como dicen Hawksbee, el profesor de salud pública Martin McKee y el profesor de economía Lawrence King en un artículo recientemente publicado en BMJ, la mayoría de los expertos concuerdan en que se debe poder vacunar al máximo número posible de personas con la mayor rapidez posible. Muchos debates se han centrado en los derechos de propiedad intelectual: ¿deben las compañías que desarrollaron vacunas contra la covid-19 ser obligadas a poner a disposición sus conocimientos para que otros puedan producir estas vacunas? ¿O bien una exención de los derechos de propiedad intelectual u otras reformas del sistema actual de propiedad intelectual amenazan la futura innovación?</w:t>
      </w:r>
    </w:p>
    <w:p w:rsidR="00F51953" w:rsidRPr="00067A03" w:rsidRDefault="00F51953">
      <w:pPr>
        <w:rPr>
          <w:rFonts w:cs="Tahoma"/>
          <w:sz w:val="20"/>
          <w:szCs w:val="20"/>
          <w:lang w:val="es-ES"/>
        </w:rPr>
      </w:pPr>
    </w:p>
    <w:p w:rsidR="00F51953" w:rsidRPr="00067A03" w:rsidRDefault="00F51953">
      <w:pPr>
        <w:rPr>
          <w:rFonts w:cs="Tahoma"/>
          <w:sz w:val="20"/>
          <w:szCs w:val="20"/>
          <w:lang w:val="es-ES"/>
        </w:rPr>
      </w:pPr>
      <w:r w:rsidRPr="00067A03">
        <w:rPr>
          <w:rFonts w:cs="Tahoma"/>
          <w:sz w:val="20"/>
          <w:szCs w:val="20"/>
          <w:lang w:val="es-ES"/>
        </w:rPr>
        <w:t xml:space="preserve">El debate adquirió grandes proporciones cuando el Presidente Biden manifestó su </w:t>
      </w:r>
      <w:r w:rsidR="00AE1754" w:rsidRPr="00067A03">
        <w:rPr>
          <w:rFonts w:cs="Tahoma"/>
          <w:sz w:val="20"/>
          <w:szCs w:val="20"/>
          <w:lang w:val="es-ES"/>
        </w:rPr>
        <w:t>a</w:t>
      </w:r>
      <w:r w:rsidRPr="00067A03">
        <w:rPr>
          <w:rFonts w:cs="Tahoma"/>
          <w:sz w:val="20"/>
          <w:szCs w:val="20"/>
          <w:lang w:val="es-ES"/>
        </w:rPr>
        <w:t>poyo a una exención temporal de los derechos de propiedad intelectual sobre las vacunas contra la covid-19.</w:t>
      </w:r>
      <w:r w:rsidR="00AE1754" w:rsidRPr="00067A03">
        <w:rPr>
          <w:rFonts w:cs="Tahoma"/>
          <w:sz w:val="20"/>
          <w:szCs w:val="20"/>
          <w:lang w:val="es-ES"/>
        </w:rPr>
        <w:t xml:space="preserve"> Esta propuesta ha sido aprobada por el Senado de EEUU, y se han adherido a ella la OMS, MSF e incluso el Papa. A pesar de ello, meses después algunos pa</w:t>
      </w:r>
      <w:r w:rsidR="00B65F45" w:rsidRPr="00067A03">
        <w:rPr>
          <w:rFonts w:cs="Tahoma"/>
          <w:sz w:val="20"/>
          <w:szCs w:val="20"/>
          <w:lang w:val="es-ES"/>
        </w:rPr>
        <w:t>íses europeos siguen</w:t>
      </w:r>
      <w:r w:rsidR="00AE1754" w:rsidRPr="00067A03">
        <w:rPr>
          <w:rFonts w:cs="Tahoma"/>
          <w:sz w:val="20"/>
          <w:szCs w:val="20"/>
          <w:lang w:val="es-ES"/>
        </w:rPr>
        <w:t xml:space="preserve"> opon</w:t>
      </w:r>
      <w:r w:rsidR="00B65F45" w:rsidRPr="00067A03">
        <w:rPr>
          <w:rFonts w:cs="Tahoma"/>
          <w:sz w:val="20"/>
          <w:szCs w:val="20"/>
          <w:lang w:val="es-ES"/>
        </w:rPr>
        <w:t>ié</w:t>
      </w:r>
      <w:r w:rsidR="00AE1754" w:rsidRPr="00067A03">
        <w:rPr>
          <w:rFonts w:cs="Tahoma"/>
          <w:sz w:val="20"/>
          <w:szCs w:val="20"/>
          <w:lang w:val="es-ES"/>
        </w:rPr>
        <w:t>n</w:t>
      </w:r>
      <w:r w:rsidR="00B65F45" w:rsidRPr="00067A03">
        <w:rPr>
          <w:rFonts w:cs="Tahoma"/>
          <w:sz w:val="20"/>
          <w:szCs w:val="20"/>
          <w:lang w:val="es-ES"/>
        </w:rPr>
        <w:t>dose</w:t>
      </w:r>
      <w:r w:rsidR="00AE1754" w:rsidRPr="00067A03">
        <w:rPr>
          <w:rFonts w:cs="Tahoma"/>
          <w:sz w:val="20"/>
          <w:szCs w:val="20"/>
          <w:lang w:val="es-ES"/>
        </w:rPr>
        <w:t xml:space="preserve"> obstinadamente</w:t>
      </w:r>
      <w:r w:rsidR="00B65F45" w:rsidRPr="00067A03">
        <w:rPr>
          <w:rFonts w:cs="Tahoma"/>
          <w:sz w:val="20"/>
          <w:szCs w:val="20"/>
          <w:lang w:val="es-ES"/>
        </w:rPr>
        <w:t xml:space="preserve"> a tal exención en el seno de la OMC. Más de una docena de entidades de defensa de derechos humanos</w:t>
      </w:r>
      <w:r w:rsidR="006222C9" w:rsidRPr="00067A03">
        <w:rPr>
          <w:rFonts w:cs="Tahoma"/>
          <w:sz w:val="20"/>
          <w:szCs w:val="20"/>
          <w:lang w:val="es-ES"/>
        </w:rPr>
        <w:t>, entre ellas Amnistía Internacional,</w:t>
      </w:r>
      <w:r w:rsidR="00B65F45" w:rsidRPr="00067A03">
        <w:rPr>
          <w:rFonts w:cs="Tahoma"/>
          <w:sz w:val="20"/>
          <w:szCs w:val="20"/>
          <w:lang w:val="es-ES"/>
        </w:rPr>
        <w:t xml:space="preserve"> y de pacientes se han dirigido a los gobiernos de Canadá, Reino Unido, Alemania y Noruega para advertirles que emprenderían acciones legales contra ellos si obstruyen la adopción de la propuesta de exención. </w:t>
      </w:r>
    </w:p>
    <w:p w:rsidR="006222C9" w:rsidRPr="00067A03" w:rsidRDefault="006222C9">
      <w:pPr>
        <w:rPr>
          <w:rFonts w:cs="Tahoma"/>
          <w:sz w:val="20"/>
          <w:szCs w:val="20"/>
          <w:lang w:val="es-ES"/>
        </w:rPr>
      </w:pPr>
    </w:p>
    <w:p w:rsidR="006222C9" w:rsidRPr="00067A03" w:rsidRDefault="006222C9">
      <w:pPr>
        <w:rPr>
          <w:rFonts w:cs="Tahoma"/>
          <w:sz w:val="20"/>
          <w:szCs w:val="20"/>
          <w:lang w:val="es-ES"/>
        </w:rPr>
      </w:pPr>
      <w:r w:rsidRPr="00067A03">
        <w:rPr>
          <w:rFonts w:cs="Tahoma"/>
          <w:sz w:val="20"/>
          <w:szCs w:val="20"/>
          <w:lang w:val="es-ES"/>
        </w:rPr>
        <w:t>Mientras tanto, el mecanismo COVAX parece haber sido diseñado para preservar los actuales mecanismos de mercado y de dinámicas de poder.</w:t>
      </w:r>
    </w:p>
    <w:p w:rsidR="00F51953" w:rsidRPr="00067A03" w:rsidRDefault="00F51953">
      <w:pPr>
        <w:rPr>
          <w:rFonts w:cs="Tahoma"/>
          <w:sz w:val="20"/>
          <w:szCs w:val="20"/>
          <w:lang w:val="es-ES"/>
        </w:rPr>
      </w:pPr>
    </w:p>
    <w:p w:rsidR="00F51953" w:rsidRPr="00067A03" w:rsidRDefault="006222C9">
      <w:pPr>
        <w:rPr>
          <w:rFonts w:cs="Tahoma"/>
          <w:sz w:val="20"/>
          <w:szCs w:val="20"/>
          <w:lang w:val="es-ES"/>
        </w:rPr>
      </w:pPr>
      <w:r w:rsidRPr="00067A03">
        <w:rPr>
          <w:rFonts w:cs="Tahoma"/>
          <w:sz w:val="20"/>
          <w:szCs w:val="20"/>
          <w:lang w:val="es-ES"/>
        </w:rPr>
        <w:t xml:space="preserve">Los argumentos contrarios a reformar el sistema de propiedad intelectual son que estos son necesarios para compensar los riesgos financieros en que incurre una compañía cuando invierte en la investigación y el desarrollo necesarios para desarrollar nuevos productos. En el caso de las vacunas contra la covid-19, la magnitud de este riesgo es discutible, porque los gobiernos aportaron una parte sustancial de la financiación </w:t>
      </w:r>
      <w:r w:rsidRPr="00067A03">
        <w:rPr>
          <w:rFonts w:cs="Tahoma"/>
          <w:sz w:val="20"/>
          <w:szCs w:val="20"/>
          <w:highlight w:val="yellow"/>
          <w:lang w:val="es-ES"/>
        </w:rPr>
        <w:t>en I + D</w:t>
      </w:r>
      <w:r w:rsidRPr="00067A03">
        <w:rPr>
          <w:rFonts w:cs="Tahoma"/>
          <w:sz w:val="20"/>
          <w:szCs w:val="20"/>
          <w:lang w:val="es-ES"/>
        </w:rPr>
        <w:t xml:space="preserve"> y adquirieron grandes cantidades de vacunas por adelantado. ¿Por ejemplo, merecen estos gobiernos un retorno de su inversión en forma de precios más bajos o de mayor acceso a las vacunas de los pobres en todo el mundo con el fin de aumentar la inmunidad global? ¿O bien la exención de los derechos de propiedad </w:t>
      </w:r>
      <w:r w:rsidRPr="00067A03">
        <w:rPr>
          <w:rFonts w:cs="Tahoma"/>
          <w:sz w:val="20"/>
          <w:szCs w:val="20"/>
          <w:lang w:val="es-ES"/>
        </w:rPr>
        <w:lastRenderedPageBreak/>
        <w:t>intelectual constituye una forma de robo de estado que pueda poner en peligro investigación futura vital para la salud pública?</w:t>
      </w:r>
    </w:p>
    <w:p w:rsidR="00C5360D" w:rsidRPr="00067A03" w:rsidRDefault="00C5360D">
      <w:pPr>
        <w:rPr>
          <w:rFonts w:cs="Tahoma"/>
          <w:sz w:val="20"/>
          <w:szCs w:val="20"/>
          <w:lang w:val="es-ES"/>
        </w:rPr>
      </w:pPr>
    </w:p>
    <w:p w:rsidR="00C5360D" w:rsidRPr="00067A03" w:rsidRDefault="00C5360D">
      <w:pPr>
        <w:rPr>
          <w:rFonts w:cs="Tahoma"/>
          <w:sz w:val="20"/>
          <w:szCs w:val="20"/>
          <w:lang w:val="es-ES"/>
        </w:rPr>
      </w:pPr>
      <w:r w:rsidRPr="00067A03">
        <w:rPr>
          <w:rFonts w:cs="Tahoma"/>
          <w:sz w:val="20"/>
          <w:szCs w:val="20"/>
          <w:lang w:val="es-ES"/>
        </w:rPr>
        <w:t>Como era de esperar, la industria farmacéutica mantiene que la exención reduciría los beneficios que incentivan el desarrollo de nuevos fármacos. Sin embargo, la emergencia de nuevas variantes demuestra los riesgos del statu quo: maximizar la vacunación no es solo una necesidad moral, sino también un baluarte potencial contra la evolución de nuevas variantes que podrían ser más contagiosas, ma´s virulentas, o podrían escapar más fácilmente a la respuesta inmunitaria.</w:t>
      </w:r>
    </w:p>
    <w:p w:rsidR="00C5360D" w:rsidRPr="00067A03" w:rsidRDefault="00C5360D">
      <w:pPr>
        <w:rPr>
          <w:rFonts w:cs="Tahoma"/>
          <w:sz w:val="20"/>
          <w:szCs w:val="20"/>
          <w:lang w:val="es-ES"/>
        </w:rPr>
      </w:pPr>
    </w:p>
    <w:p w:rsidR="00C5360D" w:rsidRPr="00067A03" w:rsidRDefault="00C5360D">
      <w:pPr>
        <w:rPr>
          <w:rFonts w:cs="Tahoma"/>
          <w:sz w:val="20"/>
          <w:szCs w:val="20"/>
          <w:lang w:val="es-ES"/>
        </w:rPr>
      </w:pPr>
      <w:r w:rsidRPr="00067A03">
        <w:rPr>
          <w:rFonts w:cs="Tahoma"/>
          <w:sz w:val="20"/>
          <w:szCs w:val="20"/>
          <w:lang w:val="es-ES"/>
        </w:rPr>
        <w:t>Además, la exención no amenazaría el futuro desarrollo de fármacos, principalmente porque la relación entre beneficios e innovación es tenue.</w:t>
      </w:r>
    </w:p>
    <w:p w:rsidR="00C5360D" w:rsidRPr="00067A03" w:rsidRDefault="00C5360D">
      <w:pPr>
        <w:rPr>
          <w:rFonts w:cs="Tahoma"/>
          <w:sz w:val="20"/>
          <w:szCs w:val="20"/>
          <w:lang w:val="es-ES"/>
        </w:rPr>
      </w:pPr>
    </w:p>
    <w:p w:rsidR="00344DA0" w:rsidRPr="00067A03" w:rsidRDefault="00C5360D">
      <w:pPr>
        <w:rPr>
          <w:rFonts w:cs="Tahoma"/>
          <w:sz w:val="20"/>
          <w:szCs w:val="20"/>
          <w:lang w:val="es-ES"/>
        </w:rPr>
      </w:pPr>
      <w:r w:rsidRPr="00067A03">
        <w:rPr>
          <w:rFonts w:cs="Tahoma"/>
          <w:sz w:val="20"/>
          <w:szCs w:val="20"/>
          <w:lang w:val="es-ES"/>
        </w:rPr>
        <w:t xml:space="preserve">Los argumentos de la industria serían sólidos si existieran pruebas de que serían incapaces de atraer a inversores para financiar I + D. Pero este no parece ser el caso. Según los datos de Fortune 500, los beneficios </w:t>
      </w:r>
      <w:r w:rsidR="007C3A17" w:rsidRPr="00067A03">
        <w:rPr>
          <w:rFonts w:cs="Tahoma"/>
          <w:sz w:val="20"/>
          <w:szCs w:val="20"/>
          <w:lang w:val="es-ES"/>
        </w:rPr>
        <w:t xml:space="preserve">1954 </w:t>
      </w:r>
      <w:r w:rsidRPr="00067A03">
        <w:rPr>
          <w:rFonts w:cs="Tahoma"/>
          <w:sz w:val="20"/>
          <w:szCs w:val="20"/>
          <w:lang w:val="es-ES"/>
        </w:rPr>
        <w:t>netos de la industria farmacéutica</w:t>
      </w:r>
      <w:r w:rsidR="00344DA0" w:rsidRPr="00067A03">
        <w:rPr>
          <w:rFonts w:cs="Tahoma"/>
          <w:sz w:val="20"/>
          <w:szCs w:val="20"/>
          <w:lang w:val="es-ES"/>
        </w:rPr>
        <w:t xml:space="preserve"> fueron hasta 1999 de más del doble que los de la media de los demás sectores (banca, energía, construcción, alimentación, automoción, militar, etc.). A partir de 2000 la diferencia se disparó al triple. El retorno sobre el capital invertido es el más alto de todos los sectores. Los beneficios netos llevan ya por definición descontados los costes de I + D.</w:t>
      </w:r>
    </w:p>
    <w:p w:rsidR="00617A84" w:rsidRPr="00067A03" w:rsidRDefault="00617A84">
      <w:pPr>
        <w:rPr>
          <w:rFonts w:cs="Tahoma"/>
          <w:sz w:val="20"/>
          <w:szCs w:val="20"/>
          <w:lang w:val="es-ES"/>
        </w:rPr>
      </w:pPr>
    </w:p>
    <w:p w:rsidR="00617A84" w:rsidRPr="00067A03" w:rsidRDefault="00617A84">
      <w:pPr>
        <w:rPr>
          <w:rFonts w:cs="Tahoma"/>
          <w:sz w:val="20"/>
          <w:szCs w:val="20"/>
          <w:lang w:val="es-ES"/>
        </w:rPr>
      </w:pPr>
      <w:r w:rsidRPr="00067A03">
        <w:rPr>
          <w:rFonts w:cs="Tahoma"/>
          <w:sz w:val="20"/>
          <w:szCs w:val="20"/>
          <w:lang w:val="es-ES"/>
        </w:rPr>
        <w:t>Se podrían justificar unos beneficios altos con el argumento que las compañías farmacéuticas producen las innovaciones más necesarias para mejorar y proteger la salud pública. Pero la idea de que la industria se concentra en los fármacos más necesarios está lejos de la realidad. Por una parte, solo un 2 a 3% de los nuevos medicamentos son avances importantes, y entre un 9 y un 11% ofrecen solo alguna ventaja modesta sobre productos anteriormente disponibles; el resto no aporta avances clínicos. Por otra parte</w:t>
      </w:r>
      <w:r w:rsidR="004813ED" w:rsidRPr="00067A03">
        <w:rPr>
          <w:rFonts w:cs="Tahoma"/>
          <w:sz w:val="20"/>
          <w:szCs w:val="20"/>
          <w:lang w:val="es-ES"/>
        </w:rPr>
        <w:t xml:space="preserve">, hay grandes necesidades de investigación desatendidas por la industria, como el paludismo, la tuberculosis multirresistente y la resistencia a antibióticos. </w:t>
      </w:r>
    </w:p>
    <w:p w:rsidR="004813ED" w:rsidRPr="00067A03" w:rsidRDefault="004813ED">
      <w:pPr>
        <w:rPr>
          <w:rFonts w:cs="Tahoma"/>
          <w:sz w:val="20"/>
          <w:szCs w:val="20"/>
          <w:lang w:val="es-ES"/>
        </w:rPr>
      </w:pPr>
    </w:p>
    <w:p w:rsidR="004813ED" w:rsidRPr="00067A03" w:rsidRDefault="004813ED">
      <w:pPr>
        <w:rPr>
          <w:rFonts w:cs="Tahoma"/>
          <w:sz w:val="20"/>
          <w:szCs w:val="20"/>
          <w:lang w:val="es-ES"/>
        </w:rPr>
      </w:pPr>
      <w:r w:rsidRPr="00067A03">
        <w:rPr>
          <w:rFonts w:cs="Tahoma"/>
          <w:sz w:val="20"/>
          <w:szCs w:val="20"/>
          <w:lang w:val="es-ES"/>
        </w:rPr>
        <w:t>Al mismo tiempo, el papel de la industria en el rápido desarrollo de vacunas ha sido fundamental</w:t>
      </w:r>
      <w:r w:rsidR="00D80FB4" w:rsidRPr="00067A03">
        <w:rPr>
          <w:rFonts w:cs="Tahoma"/>
          <w:sz w:val="20"/>
          <w:szCs w:val="20"/>
          <w:lang w:val="es-ES"/>
        </w:rPr>
        <w:t>.</w:t>
      </w:r>
    </w:p>
    <w:p w:rsidR="00D80FB4" w:rsidRPr="00067A03" w:rsidRDefault="00D80FB4">
      <w:pPr>
        <w:rPr>
          <w:rFonts w:cs="Tahoma"/>
          <w:sz w:val="20"/>
          <w:szCs w:val="20"/>
          <w:lang w:val="es-ES"/>
        </w:rPr>
      </w:pPr>
    </w:p>
    <w:p w:rsidR="00D80FB4" w:rsidRPr="00067A03" w:rsidRDefault="00760A7E">
      <w:pPr>
        <w:rPr>
          <w:rFonts w:cs="Tahoma"/>
          <w:sz w:val="20"/>
          <w:szCs w:val="20"/>
          <w:lang w:val="es-ES"/>
        </w:rPr>
      </w:pPr>
      <w:r w:rsidRPr="00067A03">
        <w:rPr>
          <w:rFonts w:cs="Tahoma"/>
          <w:sz w:val="20"/>
          <w:szCs w:val="20"/>
          <w:lang w:val="es-ES"/>
        </w:rPr>
        <w:t>Sin embargo, l</w:t>
      </w:r>
      <w:r w:rsidR="00D80FB4" w:rsidRPr="00067A03">
        <w:rPr>
          <w:rFonts w:cs="Tahoma"/>
          <w:sz w:val="20"/>
          <w:szCs w:val="20"/>
          <w:lang w:val="es-ES"/>
        </w:rPr>
        <w:t>a idea de que la sociedad solo puede recoger los beneficios de la innovación médica si los monopolios de propiedad intelectual producen beneficios astronómicos a la industria ya no es sostenible.</w:t>
      </w:r>
      <w:r w:rsidR="008F66D8" w:rsidRPr="00067A03">
        <w:rPr>
          <w:rFonts w:cs="Tahoma"/>
          <w:sz w:val="20"/>
          <w:szCs w:val="20"/>
          <w:lang w:val="es-ES"/>
        </w:rPr>
        <w:t xml:space="preserve"> Los beneficios récord no han dado origen a investigación sobre resistencias a antibióticos o enfermedades desatendidas, y nunca han garantizado el acceso a los medicamentos esenciales de los pobres del mundo.</w:t>
      </w:r>
      <w:r w:rsidR="00262B3E" w:rsidRPr="00067A03">
        <w:rPr>
          <w:rFonts w:cs="Tahoma"/>
          <w:sz w:val="20"/>
          <w:szCs w:val="20"/>
          <w:lang w:val="es-ES"/>
        </w:rPr>
        <w:t xml:space="preserve"> Tampoco</w:t>
      </w:r>
      <w:r w:rsidR="008F66D8" w:rsidRPr="00067A03">
        <w:rPr>
          <w:rFonts w:cs="Tahoma"/>
          <w:sz w:val="20"/>
          <w:szCs w:val="20"/>
          <w:lang w:val="es-ES"/>
        </w:rPr>
        <w:t xml:space="preserve"> hay ninguna razón para creer que la búsqueda de beneficios originará los incentivos adecuados para salvaguardar la salud global en el futuro. Por el contrario, </w:t>
      </w:r>
      <w:r w:rsidR="00262B3E" w:rsidRPr="00067A03">
        <w:rPr>
          <w:rFonts w:cs="Tahoma"/>
          <w:sz w:val="20"/>
          <w:szCs w:val="20"/>
          <w:lang w:val="es-ES"/>
        </w:rPr>
        <w:t>es necesario reformar la estructura de incentivos sobre la que se basan la investigación y el desarrollo de nuevos fármacos, con mayor liderazgo del sector público, en la que las recompensas deben ser independientes del tamaño del mercado originado.</w:t>
      </w:r>
    </w:p>
    <w:p w:rsidR="00A60525" w:rsidRPr="00067A03" w:rsidRDefault="00A60525">
      <w:pPr>
        <w:rPr>
          <w:rFonts w:cs="Tahoma"/>
          <w:sz w:val="20"/>
          <w:szCs w:val="20"/>
          <w:lang w:val="es-ES"/>
        </w:rPr>
      </w:pPr>
    </w:p>
    <w:p w:rsidR="00A60525" w:rsidRPr="00067A03" w:rsidRDefault="00A60525">
      <w:pPr>
        <w:rPr>
          <w:rFonts w:cs="Tahoma"/>
          <w:sz w:val="20"/>
          <w:szCs w:val="20"/>
          <w:lang w:val="es-ES"/>
        </w:rPr>
      </w:pPr>
      <w:r w:rsidRPr="00067A03">
        <w:rPr>
          <w:rFonts w:cs="Tahoma"/>
          <w:sz w:val="20"/>
          <w:szCs w:val="20"/>
          <w:lang w:val="es-ES"/>
        </w:rPr>
        <w:t>Si alguna de Sus Señorías tiene interés en consultar las fuentes de la información dada en esta comparecencia, no duden en contactar conmigo, las tengo a su disposición.</w:t>
      </w:r>
    </w:p>
    <w:p w:rsidR="000B3938" w:rsidRPr="00067A03" w:rsidRDefault="000B3938">
      <w:pPr>
        <w:rPr>
          <w:rFonts w:cs="Tahoma"/>
          <w:sz w:val="20"/>
          <w:szCs w:val="20"/>
          <w:lang w:val="es-ES"/>
        </w:rPr>
      </w:pPr>
    </w:p>
    <w:p w:rsidR="00D07E8E" w:rsidRPr="00067A03" w:rsidRDefault="00D07E8E">
      <w:pPr>
        <w:rPr>
          <w:rFonts w:cs="Tahoma"/>
          <w:sz w:val="20"/>
          <w:szCs w:val="20"/>
          <w:highlight w:val="yellow"/>
          <w:lang w:val="es-ES"/>
        </w:rPr>
      </w:pPr>
      <w:r w:rsidRPr="00067A03">
        <w:rPr>
          <w:rFonts w:cs="Tahoma"/>
          <w:sz w:val="20"/>
          <w:szCs w:val="20"/>
          <w:highlight w:val="yellow"/>
          <w:lang w:val="es-ES"/>
        </w:rPr>
        <w:t>Frase final patentes?</w:t>
      </w:r>
    </w:p>
    <w:p w:rsidR="00D07E8E" w:rsidRPr="00067A03" w:rsidRDefault="00D07E8E">
      <w:pPr>
        <w:rPr>
          <w:rFonts w:cs="Tahoma"/>
          <w:sz w:val="20"/>
          <w:szCs w:val="20"/>
          <w:highlight w:val="yellow"/>
          <w:lang w:val="es-ES"/>
        </w:rPr>
      </w:pPr>
    </w:p>
    <w:p w:rsidR="000B3938" w:rsidRPr="00067A03" w:rsidRDefault="000B3938">
      <w:pPr>
        <w:rPr>
          <w:rFonts w:cs="Tahoma"/>
          <w:sz w:val="20"/>
          <w:szCs w:val="20"/>
          <w:highlight w:val="yellow"/>
          <w:lang w:val="es-ES"/>
        </w:rPr>
      </w:pPr>
      <w:r w:rsidRPr="00067A03">
        <w:rPr>
          <w:rFonts w:cs="Tahoma"/>
          <w:sz w:val="20"/>
          <w:szCs w:val="20"/>
          <w:highlight w:val="yellow"/>
          <w:lang w:val="es-ES"/>
        </w:rPr>
        <w:t>Conclusiones</w:t>
      </w:r>
      <w:r w:rsidR="00D07E8E" w:rsidRPr="00067A03">
        <w:rPr>
          <w:rFonts w:cs="Tahoma"/>
          <w:sz w:val="20"/>
          <w:szCs w:val="20"/>
          <w:highlight w:val="yellow"/>
          <w:lang w:val="es-ES"/>
        </w:rPr>
        <w:t>?</w:t>
      </w:r>
    </w:p>
    <w:p w:rsidR="00210B05" w:rsidRPr="00067A03" w:rsidRDefault="00210B05">
      <w:pPr>
        <w:rPr>
          <w:rFonts w:cs="Tahoma"/>
          <w:sz w:val="20"/>
          <w:szCs w:val="20"/>
          <w:highlight w:val="yellow"/>
          <w:lang w:val="es-ES"/>
        </w:rPr>
      </w:pPr>
    </w:p>
    <w:p w:rsidR="00210B05" w:rsidRPr="00067A03" w:rsidRDefault="00210B05">
      <w:pPr>
        <w:rPr>
          <w:rFonts w:cs="Tahoma"/>
          <w:sz w:val="20"/>
          <w:szCs w:val="20"/>
          <w:highlight w:val="yellow"/>
          <w:lang w:val="es-ES"/>
        </w:rPr>
      </w:pPr>
      <w:r w:rsidRPr="00067A03">
        <w:rPr>
          <w:rFonts w:cs="Tahoma"/>
          <w:sz w:val="20"/>
          <w:szCs w:val="20"/>
          <w:highlight w:val="yellow"/>
          <w:lang w:val="es-ES"/>
        </w:rPr>
        <w:t>Incertidumbre. La necesidad de investigación.</w:t>
      </w:r>
    </w:p>
    <w:p w:rsidR="000B3938" w:rsidRPr="00067A03" w:rsidRDefault="001F2D6B">
      <w:pPr>
        <w:rPr>
          <w:rFonts w:cs="Tahoma"/>
          <w:sz w:val="20"/>
          <w:szCs w:val="20"/>
          <w:highlight w:val="yellow"/>
          <w:lang w:val="es-ES"/>
        </w:rPr>
      </w:pPr>
      <w:r w:rsidRPr="00067A03">
        <w:rPr>
          <w:rFonts w:cs="Tahoma"/>
          <w:sz w:val="20"/>
          <w:szCs w:val="20"/>
          <w:highlight w:val="yellow"/>
          <w:lang w:val="es-ES"/>
        </w:rPr>
        <w:t>Más atención a los resultados que a los procedimientos.</w:t>
      </w:r>
    </w:p>
    <w:p w:rsidR="001F2D6B" w:rsidRPr="00067A03" w:rsidRDefault="001F2D6B">
      <w:pPr>
        <w:rPr>
          <w:rFonts w:cs="Tahoma"/>
          <w:sz w:val="20"/>
          <w:szCs w:val="20"/>
          <w:lang w:val="es-ES"/>
        </w:rPr>
      </w:pPr>
      <w:r w:rsidRPr="00067A03">
        <w:rPr>
          <w:rFonts w:cs="Tahoma"/>
          <w:sz w:val="20"/>
          <w:szCs w:val="20"/>
          <w:highlight w:val="yellow"/>
          <w:lang w:val="es-ES"/>
        </w:rPr>
        <w:t>Se han puesto en evidencia las debilidades de la FV en la UE, y las de la EMA.</w:t>
      </w:r>
    </w:p>
    <w:p w:rsidR="00F51953" w:rsidRPr="00067A03" w:rsidRDefault="00344DA0">
      <w:pPr>
        <w:rPr>
          <w:rFonts w:cs="Tahoma"/>
          <w:sz w:val="20"/>
          <w:szCs w:val="20"/>
          <w:lang w:val="es-ES"/>
        </w:rPr>
      </w:pPr>
      <w:r w:rsidRPr="00067A03">
        <w:rPr>
          <w:rFonts w:cs="Tahoma"/>
          <w:sz w:val="20"/>
          <w:szCs w:val="20"/>
          <w:lang w:val="es-ES"/>
        </w:rPr>
        <w:t xml:space="preserve"> </w:t>
      </w:r>
    </w:p>
    <w:sectPr w:rsidR="00F51953" w:rsidRPr="00067A03" w:rsidSect="00446819">
      <w:headerReference w:type="even" r:id="rId7"/>
      <w:headerReference w:type="default" r:id="rId8"/>
      <w:pgSz w:w="11906" w:h="16838" w:code="9"/>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4CD2" w:rsidRDefault="00474CD2">
      <w:r>
        <w:separator/>
      </w:r>
    </w:p>
  </w:endnote>
  <w:endnote w:type="continuationSeparator" w:id="1">
    <w:p w:rsidR="00474CD2" w:rsidRDefault="00474CD2">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4CD2" w:rsidRDefault="00474CD2">
      <w:r>
        <w:separator/>
      </w:r>
    </w:p>
  </w:footnote>
  <w:footnote w:type="continuationSeparator" w:id="1">
    <w:p w:rsidR="00474CD2" w:rsidRDefault="00474C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0D7" w:rsidRDefault="000372F2">
    <w:pPr>
      <w:pStyle w:val="Encabezado"/>
      <w:framePr w:wrap="around" w:vAnchor="text" w:hAnchor="margin" w:xAlign="right" w:y="1"/>
      <w:rPr>
        <w:rStyle w:val="Nmerodepgina"/>
      </w:rPr>
    </w:pPr>
    <w:r>
      <w:rPr>
        <w:rStyle w:val="Nmerodepgina"/>
      </w:rPr>
      <w:fldChar w:fldCharType="begin"/>
    </w:r>
    <w:r w:rsidR="00CF30D7">
      <w:rPr>
        <w:rStyle w:val="Nmerodepgina"/>
      </w:rPr>
      <w:instrText xml:space="preserve">PAGE  </w:instrText>
    </w:r>
    <w:r>
      <w:rPr>
        <w:rStyle w:val="Nmerodepgina"/>
      </w:rPr>
      <w:fldChar w:fldCharType="end"/>
    </w:r>
  </w:p>
  <w:p w:rsidR="00CF30D7" w:rsidRDefault="00CF30D7">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0D7" w:rsidRPr="006B36E7" w:rsidRDefault="000372F2">
    <w:pPr>
      <w:pStyle w:val="Encabezado"/>
      <w:framePr w:wrap="around" w:vAnchor="text" w:hAnchor="page" w:x="10162" w:y="-3"/>
      <w:rPr>
        <w:rStyle w:val="Nmerodepgina"/>
        <w:sz w:val="20"/>
        <w:szCs w:val="20"/>
      </w:rPr>
    </w:pPr>
    <w:r w:rsidRPr="006B36E7">
      <w:rPr>
        <w:rStyle w:val="Nmerodepgina"/>
        <w:sz w:val="20"/>
        <w:szCs w:val="20"/>
      </w:rPr>
      <w:fldChar w:fldCharType="begin"/>
    </w:r>
    <w:r w:rsidR="00CF30D7" w:rsidRPr="006B36E7">
      <w:rPr>
        <w:rStyle w:val="Nmerodepgina"/>
        <w:sz w:val="20"/>
        <w:szCs w:val="20"/>
      </w:rPr>
      <w:instrText xml:space="preserve">PAGE  </w:instrText>
    </w:r>
    <w:r w:rsidRPr="006B36E7">
      <w:rPr>
        <w:rStyle w:val="Nmerodepgina"/>
        <w:sz w:val="20"/>
        <w:szCs w:val="20"/>
      </w:rPr>
      <w:fldChar w:fldCharType="separate"/>
    </w:r>
    <w:r w:rsidR="0090625D">
      <w:rPr>
        <w:rStyle w:val="Nmerodepgina"/>
        <w:noProof/>
        <w:sz w:val="20"/>
        <w:szCs w:val="20"/>
      </w:rPr>
      <w:t>3</w:t>
    </w:r>
    <w:r w:rsidRPr="006B36E7">
      <w:rPr>
        <w:rStyle w:val="Nmerodepgina"/>
        <w:sz w:val="20"/>
        <w:szCs w:val="20"/>
      </w:rPr>
      <w:fldChar w:fldCharType="end"/>
    </w:r>
  </w:p>
  <w:p w:rsidR="00CF30D7" w:rsidRDefault="00CF30D7">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83FF9"/>
    <w:multiLevelType w:val="hybridMultilevel"/>
    <w:tmpl w:val="4EE872E8"/>
    <w:lvl w:ilvl="0" w:tplc="533E03C0">
      <w:numFmt w:val="bullet"/>
      <w:lvlText w:val="-"/>
      <w:lvlJc w:val="left"/>
      <w:pPr>
        <w:ind w:left="720" w:hanging="360"/>
      </w:pPr>
      <w:rPr>
        <w:rFonts w:ascii="Tahoma" w:eastAsia="Times New Roman" w:hAnsi="Tahoma" w:cs="Tahoma"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15B45F80"/>
    <w:multiLevelType w:val="hybridMultilevel"/>
    <w:tmpl w:val="26B40F64"/>
    <w:lvl w:ilvl="0" w:tplc="0403000F">
      <w:start w:val="1"/>
      <w:numFmt w:val="decimal"/>
      <w:lvlText w:val="%1."/>
      <w:lvlJc w:val="left"/>
      <w:pPr>
        <w:ind w:left="1004" w:hanging="360"/>
      </w:pPr>
    </w:lvl>
    <w:lvl w:ilvl="1" w:tplc="04030001">
      <w:start w:val="1"/>
      <w:numFmt w:val="bullet"/>
      <w:lvlText w:val=""/>
      <w:lvlJc w:val="left"/>
      <w:pPr>
        <w:ind w:left="1724" w:hanging="360"/>
      </w:pPr>
      <w:rPr>
        <w:rFonts w:ascii="Symbol" w:hAnsi="Symbol" w:hint="default"/>
      </w:rPr>
    </w:lvl>
    <w:lvl w:ilvl="2" w:tplc="04030003">
      <w:start w:val="1"/>
      <w:numFmt w:val="bullet"/>
      <w:lvlText w:val="o"/>
      <w:lvlJc w:val="left"/>
      <w:pPr>
        <w:ind w:left="2624" w:hanging="360"/>
      </w:pPr>
      <w:rPr>
        <w:rFonts w:ascii="Courier New" w:hAnsi="Courier New" w:cs="Courier New" w:hint="default"/>
      </w:rPr>
    </w:lvl>
    <w:lvl w:ilvl="3" w:tplc="0403000F" w:tentative="1">
      <w:start w:val="1"/>
      <w:numFmt w:val="decimal"/>
      <w:lvlText w:val="%4."/>
      <w:lvlJc w:val="left"/>
      <w:pPr>
        <w:ind w:left="3164" w:hanging="360"/>
      </w:pPr>
    </w:lvl>
    <w:lvl w:ilvl="4" w:tplc="04030019" w:tentative="1">
      <w:start w:val="1"/>
      <w:numFmt w:val="lowerLetter"/>
      <w:lvlText w:val="%5."/>
      <w:lvlJc w:val="left"/>
      <w:pPr>
        <w:ind w:left="3884" w:hanging="360"/>
      </w:pPr>
    </w:lvl>
    <w:lvl w:ilvl="5" w:tplc="0403001B" w:tentative="1">
      <w:start w:val="1"/>
      <w:numFmt w:val="lowerRoman"/>
      <w:lvlText w:val="%6."/>
      <w:lvlJc w:val="right"/>
      <w:pPr>
        <w:ind w:left="4604" w:hanging="180"/>
      </w:pPr>
    </w:lvl>
    <w:lvl w:ilvl="6" w:tplc="0403000F" w:tentative="1">
      <w:start w:val="1"/>
      <w:numFmt w:val="decimal"/>
      <w:lvlText w:val="%7."/>
      <w:lvlJc w:val="left"/>
      <w:pPr>
        <w:ind w:left="5324" w:hanging="360"/>
      </w:pPr>
    </w:lvl>
    <w:lvl w:ilvl="7" w:tplc="04030019" w:tentative="1">
      <w:start w:val="1"/>
      <w:numFmt w:val="lowerLetter"/>
      <w:lvlText w:val="%8."/>
      <w:lvlJc w:val="left"/>
      <w:pPr>
        <w:ind w:left="6044" w:hanging="360"/>
      </w:pPr>
    </w:lvl>
    <w:lvl w:ilvl="8" w:tplc="0403001B" w:tentative="1">
      <w:start w:val="1"/>
      <w:numFmt w:val="lowerRoman"/>
      <w:lvlText w:val="%9."/>
      <w:lvlJc w:val="right"/>
      <w:pPr>
        <w:ind w:left="6764" w:hanging="180"/>
      </w:pPr>
    </w:lvl>
  </w:abstractNum>
  <w:abstractNum w:abstractNumId="2">
    <w:nsid w:val="21D476E9"/>
    <w:multiLevelType w:val="multilevel"/>
    <w:tmpl w:val="591AB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FC1B75"/>
    <w:multiLevelType w:val="multilevel"/>
    <w:tmpl w:val="32789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312EFB"/>
    <w:multiLevelType w:val="hybridMultilevel"/>
    <w:tmpl w:val="0C800D9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nsid w:val="71A773C6"/>
    <w:multiLevelType w:val="multilevel"/>
    <w:tmpl w:val="9EAC9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58078D9"/>
    <w:multiLevelType w:val="multilevel"/>
    <w:tmpl w:val="6EF29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0"/>
  </w:num>
  <w:num w:numId="4">
    <w:abstractNumId w:val="2"/>
  </w:num>
  <w:num w:numId="5">
    <w:abstractNumId w:val="3"/>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AE1754"/>
    <w:rsid w:val="0001244C"/>
    <w:rsid w:val="000204C2"/>
    <w:rsid w:val="00026360"/>
    <w:rsid w:val="000372F2"/>
    <w:rsid w:val="00063E89"/>
    <w:rsid w:val="00064E0B"/>
    <w:rsid w:val="00067A03"/>
    <w:rsid w:val="000B3938"/>
    <w:rsid w:val="000D52BD"/>
    <w:rsid w:val="001160A8"/>
    <w:rsid w:val="00121448"/>
    <w:rsid w:val="0012775B"/>
    <w:rsid w:val="00163821"/>
    <w:rsid w:val="00172980"/>
    <w:rsid w:val="00173F3B"/>
    <w:rsid w:val="00180BDC"/>
    <w:rsid w:val="001C3AA2"/>
    <w:rsid w:val="001F2D6B"/>
    <w:rsid w:val="00210B05"/>
    <w:rsid w:val="00221086"/>
    <w:rsid w:val="00225A76"/>
    <w:rsid w:val="002279A2"/>
    <w:rsid w:val="00254AD7"/>
    <w:rsid w:val="00260696"/>
    <w:rsid w:val="00262B3E"/>
    <w:rsid w:val="00277476"/>
    <w:rsid w:val="00284D43"/>
    <w:rsid w:val="002852AB"/>
    <w:rsid w:val="002939A1"/>
    <w:rsid w:val="00294EF8"/>
    <w:rsid w:val="002B48D4"/>
    <w:rsid w:val="002C2984"/>
    <w:rsid w:val="0031351A"/>
    <w:rsid w:val="00325961"/>
    <w:rsid w:val="00344DA0"/>
    <w:rsid w:val="003556D5"/>
    <w:rsid w:val="003675C0"/>
    <w:rsid w:val="003719B3"/>
    <w:rsid w:val="003B1A57"/>
    <w:rsid w:val="00446819"/>
    <w:rsid w:val="00472C7D"/>
    <w:rsid w:val="00474CD2"/>
    <w:rsid w:val="004813ED"/>
    <w:rsid w:val="0049681A"/>
    <w:rsid w:val="004F3309"/>
    <w:rsid w:val="00540683"/>
    <w:rsid w:val="00574833"/>
    <w:rsid w:val="00585B53"/>
    <w:rsid w:val="005B1025"/>
    <w:rsid w:val="005C1C08"/>
    <w:rsid w:val="005F4594"/>
    <w:rsid w:val="00617A84"/>
    <w:rsid w:val="006222C9"/>
    <w:rsid w:val="00633EAC"/>
    <w:rsid w:val="00637B4A"/>
    <w:rsid w:val="00691ED3"/>
    <w:rsid w:val="006A3502"/>
    <w:rsid w:val="006A7DBD"/>
    <w:rsid w:val="006B36E7"/>
    <w:rsid w:val="006C55F0"/>
    <w:rsid w:val="006D483B"/>
    <w:rsid w:val="006E4502"/>
    <w:rsid w:val="00711230"/>
    <w:rsid w:val="0074113B"/>
    <w:rsid w:val="0075385D"/>
    <w:rsid w:val="00760A7E"/>
    <w:rsid w:val="00766392"/>
    <w:rsid w:val="00767A76"/>
    <w:rsid w:val="007713DF"/>
    <w:rsid w:val="007A1CD7"/>
    <w:rsid w:val="007A4E0E"/>
    <w:rsid w:val="007C39AB"/>
    <w:rsid w:val="007C3A17"/>
    <w:rsid w:val="007C6C5B"/>
    <w:rsid w:val="007E507C"/>
    <w:rsid w:val="0080167A"/>
    <w:rsid w:val="008103D4"/>
    <w:rsid w:val="00827DB8"/>
    <w:rsid w:val="00835A0B"/>
    <w:rsid w:val="008436BD"/>
    <w:rsid w:val="008539C4"/>
    <w:rsid w:val="00874A40"/>
    <w:rsid w:val="008B4015"/>
    <w:rsid w:val="008B4279"/>
    <w:rsid w:val="008C2ABD"/>
    <w:rsid w:val="008E4665"/>
    <w:rsid w:val="008F66D8"/>
    <w:rsid w:val="0090625D"/>
    <w:rsid w:val="00920EBA"/>
    <w:rsid w:val="00922700"/>
    <w:rsid w:val="00943143"/>
    <w:rsid w:val="00943518"/>
    <w:rsid w:val="00985AF2"/>
    <w:rsid w:val="00986DB4"/>
    <w:rsid w:val="009D0D92"/>
    <w:rsid w:val="009D61D8"/>
    <w:rsid w:val="00A53696"/>
    <w:rsid w:val="00A60525"/>
    <w:rsid w:val="00A772CC"/>
    <w:rsid w:val="00AA4CD1"/>
    <w:rsid w:val="00AC75B2"/>
    <w:rsid w:val="00AD001D"/>
    <w:rsid w:val="00AE1754"/>
    <w:rsid w:val="00AF5397"/>
    <w:rsid w:val="00B15EDC"/>
    <w:rsid w:val="00B3100B"/>
    <w:rsid w:val="00B42D70"/>
    <w:rsid w:val="00B43A97"/>
    <w:rsid w:val="00B65F45"/>
    <w:rsid w:val="00B70AF5"/>
    <w:rsid w:val="00B8088D"/>
    <w:rsid w:val="00BB739E"/>
    <w:rsid w:val="00BE2731"/>
    <w:rsid w:val="00C15029"/>
    <w:rsid w:val="00C261FC"/>
    <w:rsid w:val="00C43813"/>
    <w:rsid w:val="00C5360D"/>
    <w:rsid w:val="00C55D0E"/>
    <w:rsid w:val="00C72F89"/>
    <w:rsid w:val="00C97617"/>
    <w:rsid w:val="00CD4126"/>
    <w:rsid w:val="00CF30D7"/>
    <w:rsid w:val="00CF3634"/>
    <w:rsid w:val="00CF4D19"/>
    <w:rsid w:val="00D06127"/>
    <w:rsid w:val="00D07E8E"/>
    <w:rsid w:val="00D12E7A"/>
    <w:rsid w:val="00D3166E"/>
    <w:rsid w:val="00D72CEC"/>
    <w:rsid w:val="00D74BC6"/>
    <w:rsid w:val="00D76E02"/>
    <w:rsid w:val="00D80FB4"/>
    <w:rsid w:val="00D96200"/>
    <w:rsid w:val="00DB0663"/>
    <w:rsid w:val="00DB55A9"/>
    <w:rsid w:val="00DD0CFE"/>
    <w:rsid w:val="00DE0AD6"/>
    <w:rsid w:val="00E141BF"/>
    <w:rsid w:val="00E22B71"/>
    <w:rsid w:val="00E40A57"/>
    <w:rsid w:val="00E52181"/>
    <w:rsid w:val="00E9026C"/>
    <w:rsid w:val="00E91B4B"/>
    <w:rsid w:val="00EA1349"/>
    <w:rsid w:val="00EB657E"/>
    <w:rsid w:val="00EC1478"/>
    <w:rsid w:val="00ED39F4"/>
    <w:rsid w:val="00F11C64"/>
    <w:rsid w:val="00F33641"/>
    <w:rsid w:val="00F44BC0"/>
    <w:rsid w:val="00F51953"/>
    <w:rsid w:val="00F519AF"/>
    <w:rsid w:val="00F84015"/>
    <w:rsid w:val="00FA713C"/>
    <w:rsid w:val="00FB14E5"/>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819"/>
    <w:rPr>
      <w:rFonts w:ascii="Tahoma" w:hAnsi="Tahoma"/>
      <w:sz w:val="24"/>
      <w:szCs w:val="24"/>
      <w:lang w:eastAsia="es-ES"/>
    </w:rPr>
  </w:style>
  <w:style w:type="paragraph" w:styleId="Ttulo2">
    <w:name w:val="heading 2"/>
    <w:basedOn w:val="Normal"/>
    <w:link w:val="Ttulo2Car"/>
    <w:uiPriority w:val="9"/>
    <w:qFormat/>
    <w:rsid w:val="00F51953"/>
    <w:pPr>
      <w:spacing w:before="100" w:beforeAutospacing="1" w:after="100" w:afterAutospacing="1"/>
      <w:outlineLvl w:val="1"/>
    </w:pPr>
    <w:rPr>
      <w:rFonts w:ascii="Times New Roman" w:hAnsi="Times New Roman"/>
      <w:b/>
      <w:bCs/>
      <w:sz w:val="36"/>
      <w:szCs w:val="36"/>
      <w:lang w:eastAsia="ca-ES"/>
    </w:rPr>
  </w:style>
  <w:style w:type="paragraph" w:styleId="Ttulo3">
    <w:name w:val="heading 3"/>
    <w:basedOn w:val="Normal"/>
    <w:next w:val="Normal"/>
    <w:link w:val="Ttulo3Car"/>
    <w:semiHidden/>
    <w:unhideWhenUsed/>
    <w:qFormat/>
    <w:rsid w:val="00F51953"/>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46819"/>
    <w:pPr>
      <w:tabs>
        <w:tab w:val="center" w:pos="4252"/>
        <w:tab w:val="right" w:pos="8504"/>
      </w:tabs>
    </w:pPr>
  </w:style>
  <w:style w:type="character" w:styleId="Nmerodepgina">
    <w:name w:val="page number"/>
    <w:basedOn w:val="Fuentedeprrafopredeter"/>
    <w:rsid w:val="00446819"/>
  </w:style>
  <w:style w:type="paragraph" w:styleId="Piedepgina">
    <w:name w:val="footer"/>
    <w:basedOn w:val="Normal"/>
    <w:rsid w:val="00446819"/>
    <w:pPr>
      <w:tabs>
        <w:tab w:val="center" w:pos="4252"/>
        <w:tab w:val="right" w:pos="8504"/>
      </w:tabs>
    </w:pPr>
  </w:style>
  <w:style w:type="character" w:customStyle="1" w:styleId="Ttulo2Car">
    <w:name w:val="Título 2 Car"/>
    <w:basedOn w:val="Fuentedeprrafopredeter"/>
    <w:link w:val="Ttulo2"/>
    <w:uiPriority w:val="9"/>
    <w:rsid w:val="00F51953"/>
    <w:rPr>
      <w:b/>
      <w:bCs/>
      <w:sz w:val="36"/>
      <w:szCs w:val="36"/>
    </w:rPr>
  </w:style>
  <w:style w:type="paragraph" w:styleId="NormalWeb">
    <w:name w:val="Normal (Web)"/>
    <w:basedOn w:val="Normal"/>
    <w:uiPriority w:val="99"/>
    <w:unhideWhenUsed/>
    <w:rsid w:val="00F51953"/>
    <w:pPr>
      <w:spacing w:before="100" w:beforeAutospacing="1" w:after="100" w:afterAutospacing="1"/>
    </w:pPr>
    <w:rPr>
      <w:rFonts w:ascii="Times New Roman" w:hAnsi="Times New Roman"/>
      <w:lang w:eastAsia="ca-ES"/>
    </w:rPr>
  </w:style>
  <w:style w:type="character" w:styleId="Hipervnculo">
    <w:name w:val="Hyperlink"/>
    <w:basedOn w:val="Fuentedeprrafopredeter"/>
    <w:uiPriority w:val="99"/>
    <w:unhideWhenUsed/>
    <w:rsid w:val="00F51953"/>
    <w:rPr>
      <w:color w:val="0000FF"/>
      <w:u w:val="single"/>
    </w:rPr>
  </w:style>
  <w:style w:type="character" w:customStyle="1" w:styleId="Ttulo3Car">
    <w:name w:val="Título 3 Car"/>
    <w:basedOn w:val="Fuentedeprrafopredeter"/>
    <w:link w:val="Ttulo3"/>
    <w:semiHidden/>
    <w:rsid w:val="00F51953"/>
    <w:rPr>
      <w:rFonts w:asciiTheme="majorHAnsi" w:eastAsiaTheme="majorEastAsia" w:hAnsiTheme="majorHAnsi" w:cstheme="majorBidi"/>
      <w:b/>
      <w:bCs/>
      <w:color w:val="4F81BD" w:themeColor="accent1"/>
      <w:sz w:val="24"/>
      <w:szCs w:val="24"/>
      <w:lang w:eastAsia="es-ES"/>
    </w:rPr>
  </w:style>
  <w:style w:type="character" w:customStyle="1" w:styleId="name">
    <w:name w:val="name"/>
    <w:basedOn w:val="Fuentedeprrafopredeter"/>
    <w:rsid w:val="00F51953"/>
  </w:style>
  <w:style w:type="character" w:customStyle="1" w:styleId="contrib-role">
    <w:name w:val="contrib-role"/>
    <w:basedOn w:val="Fuentedeprrafopredeter"/>
    <w:rsid w:val="00F51953"/>
  </w:style>
  <w:style w:type="paragraph" w:styleId="Prrafodelista">
    <w:name w:val="List Paragraph"/>
    <w:basedOn w:val="Normal"/>
    <w:uiPriority w:val="34"/>
    <w:qFormat/>
    <w:rsid w:val="00711230"/>
    <w:pPr>
      <w:ind w:left="720"/>
      <w:contextualSpacing/>
    </w:pPr>
  </w:style>
</w:styles>
</file>

<file path=word/webSettings.xml><?xml version="1.0" encoding="utf-8"?>
<w:webSettings xmlns:r="http://schemas.openxmlformats.org/officeDocument/2006/relationships" xmlns:w="http://schemas.openxmlformats.org/wordprocessingml/2006/main">
  <w:divs>
    <w:div w:id="456266515">
      <w:bodyDiv w:val="1"/>
      <w:marLeft w:val="0"/>
      <w:marRight w:val="0"/>
      <w:marTop w:val="0"/>
      <w:marBottom w:val="0"/>
      <w:divBdr>
        <w:top w:val="none" w:sz="0" w:space="0" w:color="auto"/>
        <w:left w:val="none" w:sz="0" w:space="0" w:color="auto"/>
        <w:bottom w:val="none" w:sz="0" w:space="0" w:color="auto"/>
        <w:right w:val="none" w:sz="0" w:space="0" w:color="auto"/>
      </w:divBdr>
      <w:divsChild>
        <w:div w:id="1807628127">
          <w:marLeft w:val="0"/>
          <w:marRight w:val="0"/>
          <w:marTop w:val="0"/>
          <w:marBottom w:val="0"/>
          <w:divBdr>
            <w:top w:val="none" w:sz="0" w:space="0" w:color="auto"/>
            <w:left w:val="none" w:sz="0" w:space="0" w:color="auto"/>
            <w:bottom w:val="none" w:sz="0" w:space="0" w:color="auto"/>
            <w:right w:val="none" w:sz="0" w:space="0" w:color="auto"/>
          </w:divBdr>
        </w:div>
        <w:div w:id="1105420395">
          <w:marLeft w:val="0"/>
          <w:marRight w:val="0"/>
          <w:marTop w:val="0"/>
          <w:marBottom w:val="0"/>
          <w:divBdr>
            <w:top w:val="none" w:sz="0" w:space="0" w:color="auto"/>
            <w:left w:val="none" w:sz="0" w:space="0" w:color="auto"/>
            <w:bottom w:val="none" w:sz="0" w:space="0" w:color="auto"/>
            <w:right w:val="none" w:sz="0" w:space="0" w:color="auto"/>
          </w:divBdr>
        </w:div>
        <w:div w:id="240599108">
          <w:marLeft w:val="0"/>
          <w:marRight w:val="0"/>
          <w:marTop w:val="0"/>
          <w:marBottom w:val="0"/>
          <w:divBdr>
            <w:top w:val="none" w:sz="0" w:space="0" w:color="auto"/>
            <w:left w:val="none" w:sz="0" w:space="0" w:color="auto"/>
            <w:bottom w:val="none" w:sz="0" w:space="0" w:color="auto"/>
            <w:right w:val="none" w:sz="0" w:space="0" w:color="auto"/>
          </w:divBdr>
        </w:div>
        <w:div w:id="120615157">
          <w:marLeft w:val="0"/>
          <w:marRight w:val="0"/>
          <w:marTop w:val="0"/>
          <w:marBottom w:val="0"/>
          <w:divBdr>
            <w:top w:val="none" w:sz="0" w:space="0" w:color="auto"/>
            <w:left w:val="none" w:sz="0" w:space="0" w:color="auto"/>
            <w:bottom w:val="none" w:sz="0" w:space="0" w:color="auto"/>
            <w:right w:val="none" w:sz="0" w:space="0" w:color="auto"/>
          </w:divBdr>
        </w:div>
      </w:divsChild>
    </w:div>
    <w:div w:id="520239111">
      <w:bodyDiv w:val="1"/>
      <w:marLeft w:val="0"/>
      <w:marRight w:val="0"/>
      <w:marTop w:val="0"/>
      <w:marBottom w:val="0"/>
      <w:divBdr>
        <w:top w:val="none" w:sz="0" w:space="0" w:color="auto"/>
        <w:left w:val="none" w:sz="0" w:space="0" w:color="auto"/>
        <w:bottom w:val="none" w:sz="0" w:space="0" w:color="auto"/>
        <w:right w:val="none" w:sz="0" w:space="0" w:color="auto"/>
      </w:divBdr>
    </w:div>
    <w:div w:id="604267489">
      <w:bodyDiv w:val="1"/>
      <w:marLeft w:val="0"/>
      <w:marRight w:val="0"/>
      <w:marTop w:val="0"/>
      <w:marBottom w:val="0"/>
      <w:divBdr>
        <w:top w:val="none" w:sz="0" w:space="0" w:color="auto"/>
        <w:left w:val="none" w:sz="0" w:space="0" w:color="auto"/>
        <w:bottom w:val="none" w:sz="0" w:space="0" w:color="auto"/>
        <w:right w:val="none" w:sz="0" w:space="0" w:color="auto"/>
      </w:divBdr>
      <w:divsChild>
        <w:div w:id="1524519646">
          <w:marLeft w:val="0"/>
          <w:marRight w:val="0"/>
          <w:marTop w:val="0"/>
          <w:marBottom w:val="0"/>
          <w:divBdr>
            <w:top w:val="none" w:sz="0" w:space="0" w:color="auto"/>
            <w:left w:val="none" w:sz="0" w:space="0" w:color="auto"/>
            <w:bottom w:val="none" w:sz="0" w:space="0" w:color="auto"/>
            <w:right w:val="none" w:sz="0" w:space="0" w:color="auto"/>
          </w:divBdr>
        </w:div>
      </w:divsChild>
    </w:div>
    <w:div w:id="609702496">
      <w:bodyDiv w:val="1"/>
      <w:marLeft w:val="0"/>
      <w:marRight w:val="0"/>
      <w:marTop w:val="0"/>
      <w:marBottom w:val="0"/>
      <w:divBdr>
        <w:top w:val="none" w:sz="0" w:space="0" w:color="auto"/>
        <w:left w:val="none" w:sz="0" w:space="0" w:color="auto"/>
        <w:bottom w:val="none" w:sz="0" w:space="0" w:color="auto"/>
        <w:right w:val="none" w:sz="0" w:space="0" w:color="auto"/>
      </w:divBdr>
      <w:divsChild>
        <w:div w:id="1169514994">
          <w:marLeft w:val="0"/>
          <w:marRight w:val="0"/>
          <w:marTop w:val="0"/>
          <w:marBottom w:val="0"/>
          <w:divBdr>
            <w:top w:val="none" w:sz="0" w:space="0" w:color="auto"/>
            <w:left w:val="none" w:sz="0" w:space="0" w:color="auto"/>
            <w:bottom w:val="none" w:sz="0" w:space="0" w:color="auto"/>
            <w:right w:val="none" w:sz="0" w:space="0" w:color="auto"/>
          </w:divBdr>
        </w:div>
        <w:div w:id="358773759">
          <w:marLeft w:val="0"/>
          <w:marRight w:val="0"/>
          <w:marTop w:val="0"/>
          <w:marBottom w:val="0"/>
          <w:divBdr>
            <w:top w:val="none" w:sz="0" w:space="0" w:color="auto"/>
            <w:left w:val="none" w:sz="0" w:space="0" w:color="auto"/>
            <w:bottom w:val="none" w:sz="0" w:space="0" w:color="auto"/>
            <w:right w:val="none" w:sz="0" w:space="0" w:color="auto"/>
          </w:divBdr>
        </w:div>
        <w:div w:id="680938107">
          <w:marLeft w:val="0"/>
          <w:marRight w:val="0"/>
          <w:marTop w:val="0"/>
          <w:marBottom w:val="0"/>
          <w:divBdr>
            <w:top w:val="none" w:sz="0" w:space="0" w:color="auto"/>
            <w:left w:val="none" w:sz="0" w:space="0" w:color="auto"/>
            <w:bottom w:val="none" w:sz="0" w:space="0" w:color="auto"/>
            <w:right w:val="none" w:sz="0" w:space="0" w:color="auto"/>
          </w:divBdr>
        </w:div>
        <w:div w:id="2074964526">
          <w:marLeft w:val="0"/>
          <w:marRight w:val="0"/>
          <w:marTop w:val="0"/>
          <w:marBottom w:val="0"/>
          <w:divBdr>
            <w:top w:val="none" w:sz="0" w:space="0" w:color="auto"/>
            <w:left w:val="none" w:sz="0" w:space="0" w:color="auto"/>
            <w:bottom w:val="none" w:sz="0" w:space="0" w:color="auto"/>
            <w:right w:val="none" w:sz="0" w:space="0" w:color="auto"/>
          </w:divBdr>
        </w:div>
        <w:div w:id="1956985087">
          <w:marLeft w:val="0"/>
          <w:marRight w:val="0"/>
          <w:marTop w:val="0"/>
          <w:marBottom w:val="0"/>
          <w:divBdr>
            <w:top w:val="none" w:sz="0" w:space="0" w:color="auto"/>
            <w:left w:val="none" w:sz="0" w:space="0" w:color="auto"/>
            <w:bottom w:val="none" w:sz="0" w:space="0" w:color="auto"/>
            <w:right w:val="none" w:sz="0" w:space="0" w:color="auto"/>
          </w:divBdr>
        </w:div>
      </w:divsChild>
    </w:div>
    <w:div w:id="1524630735">
      <w:bodyDiv w:val="1"/>
      <w:marLeft w:val="0"/>
      <w:marRight w:val="0"/>
      <w:marTop w:val="0"/>
      <w:marBottom w:val="0"/>
      <w:divBdr>
        <w:top w:val="none" w:sz="0" w:space="0" w:color="auto"/>
        <w:left w:val="none" w:sz="0" w:space="0" w:color="auto"/>
        <w:bottom w:val="none" w:sz="0" w:space="0" w:color="auto"/>
        <w:right w:val="none" w:sz="0" w:space="0" w:color="auto"/>
      </w:divBdr>
    </w:div>
    <w:div w:id="1529561076">
      <w:bodyDiv w:val="1"/>
      <w:marLeft w:val="0"/>
      <w:marRight w:val="0"/>
      <w:marTop w:val="0"/>
      <w:marBottom w:val="0"/>
      <w:divBdr>
        <w:top w:val="none" w:sz="0" w:space="0" w:color="auto"/>
        <w:left w:val="none" w:sz="0" w:space="0" w:color="auto"/>
        <w:bottom w:val="none" w:sz="0" w:space="0" w:color="auto"/>
        <w:right w:val="none" w:sz="0" w:space="0" w:color="auto"/>
      </w:divBdr>
      <w:divsChild>
        <w:div w:id="1335643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5564542">
      <w:bodyDiv w:val="1"/>
      <w:marLeft w:val="0"/>
      <w:marRight w:val="0"/>
      <w:marTop w:val="0"/>
      <w:marBottom w:val="0"/>
      <w:divBdr>
        <w:top w:val="none" w:sz="0" w:space="0" w:color="auto"/>
        <w:left w:val="none" w:sz="0" w:space="0" w:color="auto"/>
        <w:bottom w:val="none" w:sz="0" w:space="0" w:color="auto"/>
        <w:right w:val="none" w:sz="0" w:space="0" w:color="auto"/>
      </w:divBdr>
    </w:div>
    <w:div w:id="1871526068">
      <w:bodyDiv w:val="1"/>
      <w:marLeft w:val="0"/>
      <w:marRight w:val="0"/>
      <w:marTop w:val="0"/>
      <w:marBottom w:val="0"/>
      <w:divBdr>
        <w:top w:val="none" w:sz="0" w:space="0" w:color="auto"/>
        <w:left w:val="none" w:sz="0" w:space="0" w:color="auto"/>
        <w:bottom w:val="none" w:sz="0" w:space="0" w:color="auto"/>
        <w:right w:val="none" w:sz="0" w:space="0" w:color="auto"/>
      </w:divBdr>
      <w:divsChild>
        <w:div w:id="1800101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3789</Words>
  <Characters>21603</Characters>
  <Application>Microsoft Office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
    </vt:vector>
  </TitlesOfParts>
  <Company>FICF-UAB</Company>
  <LinksUpToDate>false</LinksUpToDate>
  <CharactersWithSpaces>25342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jrl</dc:creator>
  <cp:lastModifiedBy>jrl</cp:lastModifiedBy>
  <cp:revision>2</cp:revision>
  <dcterms:created xsi:type="dcterms:W3CDTF">2022-02-08T14:09:00Z</dcterms:created>
  <dcterms:modified xsi:type="dcterms:W3CDTF">2022-02-08T14:09:00Z</dcterms:modified>
</cp:coreProperties>
</file>